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STATEMENT OF WORK</w:t>
      </w:r>
    </w:p>
    <w:p>
      <w:pPr>
        <w:jc w:val="center"/>
      </w:pPr>
      <w:r>
        <w:rPr>
          <w:i/>
          <w:sz w:val="28"/>
        </w:rPr>
        <w:t>Margin IQ — Real-Time Menu Profitability Monitoring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192"/>
            <w:shd w:val="clear" w:fill="1F3A5F"/>
          </w:tcPr>
          <w:p>
            <w:r/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t>Project</w:t>
            </w:r>
          </w:p>
        </w:tc>
        <w:tc>
          <w:tcPr>
            <w:tcW w:type="dxa" w:w="6192"/>
          </w:tcPr>
          <w:p>
            <w:r/>
            <w:r>
              <w:t>Margin IQ — Real-Time Menu Profitability Monitoring</w:t>
            </w:r>
          </w:p>
        </w:tc>
      </w:tr>
      <w:tr>
        <w:tc>
          <w:tcPr>
            <w:tcW w:type="dxa" w:w="3168"/>
          </w:tcPr>
          <w:p>
            <w:r/>
            <w:r>
              <w:t>Document date</w:t>
            </w:r>
          </w:p>
        </w:tc>
        <w:tc>
          <w:tcPr>
            <w:tcW w:type="dxa" w:w="6192"/>
          </w:tcPr>
          <w:p>
            <w:r/>
            <w:r>
              <w:t>July 6, 2026</w:t>
            </w:r>
          </w:p>
        </w:tc>
      </w:tr>
      <w:tr>
        <w:tc>
          <w:tcPr>
            <w:tcW w:type="dxa" w:w="3168"/>
          </w:tcPr>
          <w:p>
            <w:r/>
            <w:r>
              <w:t>Prepared by</w:t>
            </w:r>
          </w:p>
        </w:tc>
        <w:tc>
          <w:tcPr>
            <w:tcW w:type="dxa" w:w="6192"/>
          </w:tcPr>
          <w:p>
            <w:r/>
            <w:r>
              <w:t>Margin IQ (C. Moore)</w:t>
            </w:r>
          </w:p>
        </w:tc>
      </w:tr>
      <w:tr>
        <w:tc>
          <w:tcPr>
            <w:tcW w:type="dxa" w:w="3168"/>
          </w:tcPr>
          <w:p>
            <w:r/>
            <w:r>
              <w:t>Prepared for</w:t>
            </w:r>
          </w:p>
        </w:tc>
        <w:tc>
          <w:tcPr>
            <w:tcW w:type="dxa" w:w="6192"/>
          </w:tcPr>
          <w:p>
            <w:r/>
            <w:r>
              <w:t>______________________________  ("Client")</w:t>
            </w:r>
          </w:p>
        </w:tc>
      </w:tr>
      <w:tr>
        <w:tc>
          <w:tcPr>
            <w:tcW w:type="dxa" w:w="3168"/>
          </w:tcPr>
          <w:p>
            <w:r/>
            <w:r>
              <w:t>SOW version</w:t>
            </w:r>
          </w:p>
        </w:tc>
        <w:tc>
          <w:tcPr>
            <w:tcW w:type="dxa" w:w="6192"/>
          </w:tcPr>
          <w:p>
            <w:r/>
            <w: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t>Estimated engagement window</w:t>
            </w:r>
          </w:p>
        </w:tc>
        <w:tc>
          <w:tcPr>
            <w:tcW w:type="dxa" w:w="6192"/>
          </w:tcPr>
          <w:p>
            <w:r/>
            <w:r>
              <w:t>1–2 weeks from signature</w:t>
            </w:r>
          </w:p>
        </w:tc>
      </w:tr>
    </w:tbl>
    <w:p>
      <w:pPr>
        <w:pStyle w:val="Heading1"/>
      </w:pPr>
      <w:r>
        <w:t>1. Background</w:t>
      </w:r>
    </w:p>
    <w:p>
      <w:r>
        <w:t>Margin IQ is a menu-profitability intelligence platform for multi-location restaurant, cafe, and entertainment-dining operators. It computes Prime Cost (food + labor + packaging) per menu item, classifies items into menu-engineering quadrants, flags “food-cost mirage” items, and generates operator-approved pricing recommendations with a running pro forma cash-flow ticker.</w:t>
      </w:r>
    </w:p>
    <w:p>
      <w:r>
        <w:t>The platform as delivered today runs on a batch cadence: PMIX exports and financials are uploaded per period, reconciled through the data-quality gate, and then analyzed. This SOW covers standing the platform up for a real-time use case, where sales and cost data flow in continuously and the operator sees live margin intelligence rather than end-of-period reports.</w:t>
      </w:r>
    </w:p>
    <w:p>
      <w:pPr>
        <w:pStyle w:val="Heading1"/>
      </w:pPr>
      <w:r>
        <w:t>2. Objective</w:t>
      </w:r>
    </w:p>
    <w:p>
      <w:r>
        <w:t>Configure and deploy Margin IQ so that the Client's operation runs in real time:</w:t>
      </w:r>
    </w:p>
    <w:p>
      <w:pPr>
        <w:pStyle w:val="ListBullet"/>
      </w:pPr>
      <w:r>
        <w:t>POS sales data (Toast) ingested continuously rather than by periodic export.</w:t>
      </w:r>
    </w:p>
    <w:p>
      <w:pPr>
        <w:pStyle w:val="ListBullet"/>
      </w:pPr>
      <w:r>
        <w:t>Dashboards, item analysis, and the pro forma ticker refreshed live as data arrives, with the reconciliation gate applied on a rolling basis.</w:t>
      </w:r>
    </w:p>
    <w:p>
      <w:pPr>
        <w:pStyle w:val="ListBullet"/>
      </w:pPr>
      <w:r>
        <w:t>Document scanning (P&amp;Ls, menus, PMIX reports, labor schedules, competitor menus) processed on arrival via the Claude-powered extraction pipeline, with operator review-then-commit preserved.</w:t>
      </w:r>
    </w:p>
    <w:p>
      <w:pPr>
        <w:pStyle w:val="ListBullet"/>
      </w:pPr>
      <w:r>
        <w:t>The service hosted on an always-on paid instance (no cold starts, persistent database) suitable for production monitoring.</w:t>
      </w:r>
    </w:p>
    <w:p>
      <w:pPr>
        <w:pStyle w:val="Heading1"/>
      </w:pPr>
      <w:r>
        <w:t>3. Scope of Work</w:t>
      </w:r>
    </w:p>
    <w:p>
      <w:pPr>
        <w:pStyle w:val="Heading2"/>
      </w:pPr>
      <w:r>
        <w:t>3.1 In scope</w:t>
      </w:r>
    </w:p>
    <w:p>
      <w:pPr>
        <w:pStyle w:val="ListNumber"/>
      </w:pPr>
      <w:r>
        <w:rPr>
          <w:b/>
        </w:rPr>
        <w:t xml:space="preserve">Environment provisioning — </w:t>
      </w:r>
      <w:r>
        <w:t>Deploy the Margin IQ blueprint (render.yaml) to a paid, always-on Render web service with a persistent disk; disable demo seeding (SEED_DEMO=false); configure the ANTHROPIC_API_KEY for document scanning.</w:t>
      </w:r>
    </w:p>
    <w:p>
      <w:pPr>
        <w:pStyle w:val="ListNumber"/>
      </w:pPr>
      <w:r>
        <w:rPr>
          <w:b/>
        </w:rPr>
        <w:t xml:space="preserve">Real-time ingestion configuration — </w:t>
      </w:r>
      <w:r>
        <w:t>Configure the Toast adapter for continuous/scheduled ingestion into the existing pipeline (PMIX, financials, labor matrix), including PLU exclusions and rolling reconciliation against the data-quality gate.</w:t>
      </w:r>
    </w:p>
    <w:p>
      <w:pPr>
        <w:pStyle w:val="ListNumber"/>
      </w:pPr>
      <w:r>
        <w:rPr>
          <w:b/>
        </w:rPr>
        <w:t xml:space="preserve">Tenant setup — </w:t>
      </w:r>
      <w:r>
        <w:t>Create the Client's production tenant, locations, labor matrix (complexity weights, dayparts), and API token; verify tenant isolation.</w:t>
      </w:r>
    </w:p>
    <w:p>
      <w:pPr>
        <w:pStyle w:val="ListNumber"/>
      </w:pPr>
      <w:r>
        <w:rPr>
          <w:b/>
        </w:rPr>
        <w:t xml:space="preserve">GPU-accelerated document pipeline — </w:t>
      </w:r>
      <w:r>
        <w:t>Provision on-demand GPU compute for image/PDF pre-processing (deskew, denoise, page splitting) ahead of the Claude extraction step, sized for the Client's expected scan volume.</w:t>
      </w:r>
    </w:p>
    <w:p>
      <w:pPr>
        <w:pStyle w:val="ListNumber"/>
      </w:pPr>
      <w:r>
        <w:rPr>
          <w:b/>
        </w:rPr>
        <w:t xml:space="preserve">Verification — </w:t>
      </w:r>
      <w:r>
        <w:t>End-to-end smoke test: live ingestion → reconciliation pass → item analysis → recommendation generation → approval → pro forma ticker update; document scan → review → commit.</w:t>
      </w:r>
    </w:p>
    <w:p>
      <w:pPr>
        <w:pStyle w:val="ListNumber"/>
      </w:pPr>
      <w:r>
        <w:rPr>
          <w:b/>
        </w:rPr>
        <w:t xml:space="preserve">Handoff — </w:t>
      </w:r>
      <w:r>
        <w:t>Walkthrough of the portal, credentials transfer, and a short runbook covering ingestion status, reconciliation failures, and key rotation.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New feature development (e.g., Square/Clover/Lightspeed adapters, franchise mode / Phase 6, additional deliverable decks).</w:t>
      </w:r>
    </w:p>
    <w:p>
      <w:pPr>
        <w:pStyle w:val="ListBullet"/>
      </w:pPr>
      <w:r>
        <w:t>Historical data backfill beyond one baseline period.</w:t>
      </w:r>
    </w:p>
    <w:p>
      <w:pPr>
        <w:pStyle w:val="ListBullet"/>
      </w:pPr>
      <w:r>
        <w:t>Custom integrations not listed above; ongoing managed support beyond the handoff (available under a separate agreement).</w:t>
      </w:r>
    </w:p>
    <w:p>
      <w:pPr>
        <w:pStyle w:val="ListBullet"/>
      </w:pPr>
      <w:r>
        <w:t>Third-party account creation fees or plan upgrades beyond the estimates in Section 5 (billed by the vendors directly to the Client).</w:t>
      </w:r>
    </w:p>
    <w:p>
      <w:pPr>
        <w:pStyle w:val="Heading1"/>
      </w:pPr>
      <w:r>
        <w:t>4.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3A5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F3A5F"/>
          </w:tcPr>
          <w:p>
            <w:r/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032"/>
            <w:shd w:val="clear" w:fill="1F3A5F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</w:tr>
      <w:tr>
        <w:tc>
          <w:tcPr>
            <w:tcW w:type="dxa" w:w="720"/>
          </w:tcPr>
          <w:p>
            <w:r/>
            <w:r>
              <w:t>D1</w:t>
            </w:r>
          </w:p>
        </w:tc>
        <w:tc>
          <w:tcPr>
            <w:tcW w:type="dxa" w:w="4608"/>
          </w:tcPr>
          <w:p>
            <w:r/>
            <w:r>
              <w:t>Production Margin IQ instance on Render (always-on, persistent disk, demo seeding off)</w:t>
            </w:r>
          </w:p>
        </w:tc>
        <w:tc>
          <w:tcPr>
            <w:tcW w:type="dxa" w:w="4032"/>
          </w:tcPr>
          <w:p>
            <w:r/>
            <w:r>
              <w:t>/health returns healthy; data survives a restart</w:t>
            </w:r>
          </w:p>
        </w:tc>
      </w:tr>
      <w:tr>
        <w:tc>
          <w:tcPr>
            <w:tcW w:type="dxa" w:w="720"/>
          </w:tcPr>
          <w:p>
            <w:r/>
            <w:r>
              <w:t>D2</w:t>
            </w:r>
          </w:p>
        </w:tc>
        <w:tc>
          <w:tcPr>
            <w:tcW w:type="dxa" w:w="4608"/>
          </w:tcPr>
          <w:p>
            <w:r/>
            <w:r>
              <w:t>Client tenant configured with locations, labor matrix, and API token</w:t>
            </w:r>
          </w:p>
        </w:tc>
        <w:tc>
          <w:tcPr>
            <w:tcW w:type="dxa" w:w="4032"/>
          </w:tcPr>
          <w:p>
            <w:r/>
            <w:r>
              <w:t>Client can log into the portal and see own locations only</w:t>
            </w:r>
          </w:p>
        </w:tc>
      </w:tr>
      <w:tr>
        <w:tc>
          <w:tcPr>
            <w:tcW w:type="dxa" w:w="720"/>
          </w:tcPr>
          <w:p>
            <w:r/>
            <w:r>
              <w:t>D3</w:t>
            </w:r>
          </w:p>
        </w:tc>
        <w:tc>
          <w:tcPr>
            <w:tcW w:type="dxa" w:w="4608"/>
          </w:tcPr>
          <w:p>
            <w:r/>
            <w:r>
              <w:t>Real-time Toast ingestion running with rolling reconciliation</w:t>
            </w:r>
          </w:p>
        </w:tc>
        <w:tc>
          <w:tcPr>
            <w:tcW w:type="dxa" w:w="4032"/>
          </w:tcPr>
          <w:p>
            <w:r/>
            <w:r>
              <w:t>New sales visible in dashboards without manual upload; gate blocks unreconciled data</w:t>
            </w:r>
          </w:p>
        </w:tc>
      </w:tr>
      <w:tr>
        <w:tc>
          <w:tcPr>
            <w:tcW w:type="dxa" w:w="720"/>
          </w:tcPr>
          <w:p>
            <w:r/>
            <w:r>
              <w:t>D4</w:t>
            </w:r>
          </w:p>
        </w:tc>
        <w:tc>
          <w:tcPr>
            <w:tcW w:type="dxa" w:w="4608"/>
          </w:tcPr>
          <w:p>
            <w:r/>
            <w:r>
              <w:t>Document scanning live (GPU pre-processing + Claude extraction)</w:t>
            </w:r>
          </w:p>
        </w:tc>
        <w:tc>
          <w:tcPr>
            <w:tcW w:type="dxa" w:w="4032"/>
          </w:tcPr>
          <w:p>
            <w:r/>
            <w:r>
              <w:t>Uploaded P&amp;L/menu image produces reviewable structured records; commit lands in the correct collections</w:t>
            </w:r>
          </w:p>
        </w:tc>
      </w:tr>
      <w:tr>
        <w:tc>
          <w:tcPr>
            <w:tcW w:type="dxa" w:w="720"/>
          </w:tcPr>
          <w:p>
            <w:r/>
            <w:r>
              <w:t>D5</w:t>
            </w:r>
          </w:p>
        </w:tc>
        <w:tc>
          <w:tcPr>
            <w:tcW w:type="dxa" w:w="4608"/>
          </w:tcPr>
          <w:p>
            <w:r/>
            <w:r>
              <w:t>Handoff runbook and walkthrough</w:t>
            </w:r>
          </w:p>
        </w:tc>
        <w:tc>
          <w:tcPr>
            <w:tcW w:type="dxa" w:w="4032"/>
          </w:tcPr>
          <w:p>
            <w:r/>
            <w:r>
              <w:t>Delivered as markdown in the repo; walkthrough session completed</w:t>
            </w:r>
          </w:p>
        </w:tc>
      </w:tr>
    </w:tbl>
    <w:p>
      <w:pPr>
        <w:pStyle w:val="Heading1"/>
      </w:pPr>
      <w:r>
        <w:t>5. Pricing</w:t>
      </w:r>
    </w:p>
    <w:p>
      <w:pPr>
        <w:pStyle w:val="Heading2"/>
      </w:pPr>
      <w:r>
        <w:t>5.1 Professional services (one-time)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328"/>
            <w:shd w:val="clear" w:fill="1F3A5F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152"/>
            <w:shd w:val="clear" w:fill="1F3A5F"/>
          </w:tcPr>
          <w:p>
            <w:r/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/>
              </w:rPr>
              <w:t>Deployment, configuration, verification, and handoff (Sections 3.1.1–3.1.6)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$25.00/hr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$125.00</w:t>
            </w:r>
          </w:p>
        </w:tc>
      </w:tr>
    </w:tbl>
    <w:p>
      <w:pPr>
        <w:pStyle w:val="Heading2"/>
      </w:pPr>
      <w:r>
        <w:t>5.2 Recurring infrastructure and usage charges (estimated, monthly)</w:t>
      </w:r>
    </w:p>
    <w:p>
      <w:r>
        <w:t>These services are billed by their vendors directly to the Client. Figures are good-faith estimates at current published pricing and the stated usage assumptions; actual charges vary with usage and vendor price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52"/>
            <w:shd w:val="clear" w:fill="1F3A5F"/>
          </w:tcPr>
          <w:p>
            <w:r/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</w:rPr>
              <w:t>Est. monthly</w:t>
            </w:r>
          </w:p>
        </w:tc>
      </w:tr>
      <w:tr>
        <w:tc>
          <w:tcPr>
            <w:tcW w:type="dxa" w:w="3168"/>
          </w:tcPr>
          <w:p>
            <w:r/>
            <w:r>
              <w:t>Render web service (Standard instance, always-on)</w:t>
            </w:r>
          </w:p>
        </w:tc>
        <w:tc>
          <w:tcPr>
            <w:tcW w:type="dxa" w:w="4752"/>
          </w:tcPr>
          <w:p>
            <w:r/>
            <w:r>
              <w:t>Required for real-time: no sleep-on-idle, supports persistent disk</w:t>
            </w:r>
          </w:p>
        </w:tc>
        <w:tc>
          <w:tcPr>
            <w:tcW w:type="dxa" w:w="1440"/>
          </w:tcPr>
          <w:p>
            <w:r/>
            <w:r>
              <w:t>$25.00</w:t>
            </w:r>
          </w:p>
        </w:tc>
      </w:tr>
      <w:tr>
        <w:tc>
          <w:tcPr>
            <w:tcW w:type="dxa" w:w="3168"/>
          </w:tcPr>
          <w:p>
            <w:r/>
            <w:r>
              <w:t>Render persistent disk</w:t>
            </w:r>
          </w:p>
        </w:tc>
        <w:tc>
          <w:tcPr>
            <w:tcW w:type="dxa" w:w="4752"/>
          </w:tcPr>
          <w:p>
            <w:r/>
            <w:r>
              <w:t>1 GB SQLite volume at $0.25/GB-month</w:t>
            </w:r>
          </w:p>
        </w:tc>
        <w:tc>
          <w:tcPr>
            <w:tcW w:type="dxa" w:w="1440"/>
          </w:tcPr>
          <w:p>
            <w:r/>
            <w:r>
              <w:t>$0.25</w:t>
            </w:r>
          </w:p>
        </w:tc>
      </w:tr>
      <w:tr>
        <w:tc>
          <w:tcPr>
            <w:tcW w:type="dxa" w:w="3168"/>
          </w:tcPr>
          <w:p>
            <w:r/>
            <w:r>
              <w:t>GPU compute (on-demand)</w:t>
            </w:r>
          </w:p>
        </w:tc>
        <w:tc>
          <w:tcPr>
            <w:tcW w:type="dxa" w:w="4752"/>
          </w:tcPr>
          <w:p>
            <w:r/>
            <w:r>
              <w:t>Document pre-processing / OCR acceleration; ~20 hrs/month of an entry-level cloud GPU (T4/L4 class) at ~$0.60/hr</w:t>
            </w:r>
          </w:p>
        </w:tc>
        <w:tc>
          <w:tcPr>
            <w:tcW w:type="dxa" w:w="1440"/>
          </w:tcPr>
          <w:p>
            <w:r/>
            <w:r>
              <w:t>$12.00</w:t>
            </w:r>
          </w:p>
        </w:tc>
      </w:tr>
      <w:tr>
        <w:tc>
          <w:tcPr>
            <w:tcW w:type="dxa" w:w="3168"/>
          </w:tcPr>
          <w:p>
            <w:r/>
            <w:r>
              <w:t>GitHub</w:t>
            </w:r>
          </w:p>
        </w:tc>
        <w:tc>
          <w:tcPr>
            <w:tcW w:type="dxa" w:w="4752"/>
          </w:tcPr>
          <w:p>
            <w:r/>
            <w:r>
              <w:t>Team plan, 1 seat ($4) + Actions/storage overage buffer</w:t>
            </w:r>
          </w:p>
        </w:tc>
        <w:tc>
          <w:tcPr>
            <w:tcW w:type="dxa" w:w="1440"/>
          </w:tcPr>
          <w:p>
            <w:r/>
            <w:r>
              <w:t>$8.00</w:t>
            </w:r>
          </w:p>
        </w:tc>
      </w:tr>
      <w:tr>
        <w:tc>
          <w:tcPr>
            <w:tcW w:type="dxa" w:w="3168"/>
          </w:tcPr>
          <w:p>
            <w:r/>
            <w:r>
              <w:t>Claude API (document scanning)</w:t>
            </w:r>
          </w:p>
        </w:tc>
        <w:tc>
          <w:tcPr>
            <w:tcW w:type="dxa" w:w="4752"/>
          </w:tcPr>
          <w:p>
            <w:r/>
            <w:r>
              <w:t>Claude Opus 4.8 at $5.00 input / $25.00 output per million tokens; ~500 scans/month at ~3,000 input + ~1,500 output tokens per scan (≈ $0.05/scan)</w:t>
            </w:r>
          </w:p>
        </w:tc>
        <w:tc>
          <w:tcPr>
            <w:tcW w:type="dxa" w:w="1440"/>
          </w:tcPr>
          <w:p>
            <w:r/>
            <w:r>
              <w:t>$26.25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Estimated recurring total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≈ $71.50/mo</w:t>
            </w:r>
          </w:p>
        </w:tc>
      </w:tr>
    </w:tbl>
    <w:p>
      <w:pPr>
        <w:pStyle w:val="Heading2"/>
      </w:pPr>
      <w:r>
        <w:t>5.3 Engagement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fill="1F3A5F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t>One-time professional services</w:t>
            </w:r>
          </w:p>
        </w:tc>
        <w:tc>
          <w:tcPr>
            <w:tcW w:type="dxa" w:w="2880"/>
          </w:tcPr>
          <w:p>
            <w:r/>
            <w:r>
              <w:t>$125.00</w:t>
            </w:r>
          </w:p>
        </w:tc>
      </w:tr>
      <w:tr>
        <w:tc>
          <w:tcPr>
            <w:tcW w:type="dxa" w:w="6480"/>
          </w:tcPr>
          <w:p>
            <w:r/>
            <w:r>
              <w:t>First-month estimated infrastructure/usage</w:t>
            </w:r>
          </w:p>
        </w:tc>
        <w:tc>
          <w:tcPr>
            <w:tcW w:type="dxa" w:w="2880"/>
          </w:tcPr>
          <w:p>
            <w:r/>
            <w:r>
              <w:t>≈ $71.50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</w:rPr>
              <w:t>Estimated first-month 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≈ $196.50</w:t>
            </w:r>
          </w:p>
        </w:tc>
      </w:tr>
    </w:tbl>
    <w:p/>
    <w:p>
      <w:r>
        <w:rPr>
          <w:b/>
        </w:rPr>
        <w:t xml:space="preserve">Notes: </w:t>
      </w:r>
      <w:r>
        <w:t>Claude API spend scales linearly with scan volume; heavier months are billed at actual usage — prompt caching and batch submission can reduce this if volume grows materially. GPU hours are on-demand, so months with no scanning incur no GPU charge. If the Client already holds a GitHub plan or Anthropic account, those lines drop from the estimate.</w:t>
      </w:r>
    </w:p>
    <w:p>
      <w:pPr>
        <w:pStyle w:val="Heading1"/>
      </w:pPr>
      <w:r>
        <w:t>6.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fill="1F3A5F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6480"/>
          </w:tcPr>
          <w:p>
            <w:r/>
            <w:r>
              <w:t>SOW signed, accounts/keys provided by Client</w:t>
            </w:r>
          </w:p>
        </w:tc>
        <w:tc>
          <w:tcPr>
            <w:tcW w:type="dxa" w:w="2880"/>
          </w:tcPr>
          <w:p>
            <w:r/>
            <w:r>
              <w:t>Day 0</w:t>
            </w:r>
          </w:p>
        </w:tc>
      </w:tr>
      <w:tr>
        <w:tc>
          <w:tcPr>
            <w:tcW w:type="dxa" w:w="6480"/>
          </w:tcPr>
          <w:p>
            <w:r/>
            <w:r>
              <w:t>D1–D2 (deploy + tenant)</w:t>
            </w:r>
          </w:p>
        </w:tc>
        <w:tc>
          <w:tcPr>
            <w:tcW w:type="dxa" w:w="2880"/>
          </w:tcPr>
          <w:p>
            <w:r/>
            <w:r>
              <w:t>Day 1–3</w:t>
            </w:r>
          </w:p>
        </w:tc>
      </w:tr>
      <w:tr>
        <w:tc>
          <w:tcPr>
            <w:tcW w:type="dxa" w:w="6480"/>
          </w:tcPr>
          <w:p>
            <w:r/>
            <w:r>
              <w:t>D3–D4 (real-time ingestion + scanning live)</w:t>
            </w:r>
          </w:p>
        </w:tc>
        <w:tc>
          <w:tcPr>
            <w:tcW w:type="dxa" w:w="2880"/>
          </w:tcPr>
          <w:p>
            <w:r/>
            <w:r>
              <w:t>Day 3–7</w:t>
            </w:r>
          </w:p>
        </w:tc>
      </w:tr>
      <w:tr>
        <w:tc>
          <w:tcPr>
            <w:tcW w:type="dxa" w:w="6480"/>
          </w:tcPr>
          <w:p>
            <w:r/>
            <w:r>
              <w:t>D5 (verification + handoff)</w:t>
            </w:r>
          </w:p>
        </w:tc>
        <w:tc>
          <w:tcPr>
            <w:tcW w:type="dxa" w:w="2880"/>
          </w:tcPr>
          <w:p>
            <w:r/>
            <w:r>
              <w:t>Day 7–10</w:t>
            </w:r>
          </w:p>
        </w:tc>
      </w:tr>
    </w:tbl>
    <w:p>
      <w:r>
        <w:t>The 5 professional-service hours are spread across these milestones; calendar duration depends on Client turnaround for credentials and data access.</w:t>
      </w:r>
    </w:p>
    <w:p>
      <w:pPr>
        <w:pStyle w:val="Heading1"/>
      </w:pPr>
      <w:r>
        <w:t>7. Client Responsibilities</w:t>
      </w:r>
    </w:p>
    <w:p>
      <w:pPr>
        <w:pStyle w:val="ListBullet"/>
      </w:pPr>
      <w:r>
        <w:t>Provide Toast POS access/exports, reported financials, and labor data for the baseline period.</w:t>
      </w:r>
    </w:p>
    <w:p>
      <w:pPr>
        <w:pStyle w:val="ListBullet"/>
      </w:pPr>
      <w:r>
        <w:t>Provide or authorize creation of Render, GitHub, cloud-GPU, and Anthropic accounts, and accept direct billing for them.</w:t>
      </w:r>
    </w:p>
    <w:p>
      <w:pPr>
        <w:pStyle w:val="ListBullet"/>
      </w:pPr>
      <w:r>
        <w:t>Designate an operator to review and commit scanned documents and to approve/deny pricing recommendations (the system never changes a price without operator approval).</w:t>
      </w:r>
    </w:p>
    <w:p>
      <w:pPr>
        <w:pStyle w:val="ListBullet"/>
      </w:pPr>
      <w:r>
        <w:t>Respond to reconciliation-gate failures (data discrepancies &gt; 2% tolerance) with corrected source data.</w:t>
      </w:r>
    </w:p>
    <w:p>
      <w:pPr>
        <w:pStyle w:val="Heading1"/>
      </w:pPr>
      <w:r>
        <w:t>8. Assumptions and Terms</w:t>
      </w:r>
    </w:p>
    <w:p>
      <w:pPr>
        <w:pStyle w:val="ListBullet"/>
      </w:pPr>
      <w:r>
        <w:t>Work performed remotely. Hours beyond the 5-hour estimate require written approval at the same $25/hr rate before work continues.</w:t>
      </w:r>
    </w:p>
    <w:p>
      <w:pPr>
        <w:pStyle w:val="ListBullet"/>
      </w:pPr>
      <w:r>
        <w:t>Invoicing: professional services invoiced on completion of D5; net 15.</w:t>
      </w:r>
    </w:p>
    <w:p>
      <w:pPr>
        <w:pStyle w:val="ListBullet"/>
      </w:pPr>
      <w:r>
        <w:t>All data remains the Client's property; tenant isolation and watermarked exports per platform guardrails. No customer PII is modeled or stored — PMIX and cost data only.</w:t>
      </w:r>
    </w:p>
    <w:p>
      <w:pPr>
        <w:pStyle w:val="ListBullet"/>
      </w:pPr>
      <w:r>
        <w:t>Either party may terminate with 7 days' written notice; hours worked to date are billable.</w:t>
      </w:r>
    </w:p>
    <w:p>
      <w:pPr>
        <w:pStyle w:val="ListBullet"/>
      </w:pPr>
      <w:r>
        <w:t>Warranty: defects in the delivered configuration reported within 14 days of handoff are corrected at no charge.</w:t>
      </w:r>
    </w:p>
    <w:p>
      <w:pPr>
        <w:pStyle w:val="Heading1"/>
      </w:pPr>
      <w:r>
        <w:t>9. Acceptance</w:t>
      </w:r>
    </w:p>
    <w:p>
      <w:r>
        <w:t>By signing below, each party agrees to the scope, pricing, and terms described in this Statement of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</w:rPr>
              <w:t>Provider</w:t>
            </w:r>
          </w:p>
        </w:tc>
      </w:tr>
      <w:tr>
        <w:tc>
          <w:tcPr>
            <w:tcW w:type="dxa" w:w="1728"/>
          </w:tcPr>
          <w:p>
            <w:r/>
            <w:r>
              <w:t>Name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</w:tr>
      <w:tr>
        <w:tc>
          <w:tcPr>
            <w:tcW w:type="dxa" w:w="1728"/>
          </w:tcPr>
          <w:p>
            <w:r/>
            <w:r>
              <w:t>Title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</w:tr>
      <w:tr>
        <w:tc>
          <w:tcPr>
            <w:tcW w:type="dxa" w:w="1728"/>
          </w:tcPr>
          <w:p>
            <w:r/>
            <w:r>
              <w:t>Signature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</w:tr>
      <w:tr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  <w:tc>
          <w:tcPr>
            <w:tcW w:type="dxa" w:w="3744"/>
          </w:tcPr>
          <w:p>
            <w:r/>
            <w:r>
              <w:t>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