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LMS.AI vs. EdCortex: Technical Differentiators</w:t>
      </w:r>
    </w:p>
    <w:p w:rsidR="00000000" w:rsidDel="00000000" w:rsidP="00000000" w:rsidRDefault="00000000" w:rsidRPr="00000000" w14:paraId="00000002">
      <w:pPr>
        <w:rPr/>
      </w:pPr>
      <w:r w:rsidDel="00000000" w:rsidR="00000000" w:rsidRPr="00000000">
        <w:rPr>
          <w:rtl w:val="0"/>
        </w:rPr>
        <w:t xml:space="preserve">1. Reinforcement Learning vs. Predictive Modeling</w:t>
      </w:r>
    </w:p>
    <w:p w:rsidR="00000000" w:rsidDel="00000000" w:rsidP="00000000" w:rsidRDefault="00000000" w:rsidRPr="00000000" w14:paraId="00000003">
      <w:pPr>
        <w:rPr/>
      </w:pPr>
      <w:r w:rsidDel="00000000" w:rsidR="00000000" w:rsidRPr="00000000">
        <w:rPr>
          <w:rtl w:val="0"/>
        </w:rPr>
        <w:t xml:space="preserve">EdCortex relies on static predictive modeling — it classifies a learner at intake and updates only when the model is periodically retrained. LMS.AI uses contextual bandits with Thompson Sampling, an online learning approach that updates its recommendation policy after every interaction. Rather than waiting for a model re-run, LMS.AI’s recommendations sharpen in real-time, continuously balancing exploration of new content types with exploitation of what demonstrably works for that learner.</w:t>
      </w:r>
    </w:p>
    <w:p w:rsidR="00000000" w:rsidDel="00000000" w:rsidP="00000000" w:rsidRDefault="00000000" w:rsidRPr="00000000" w14:paraId="00000004">
      <w:pPr>
        <w:rPr/>
      </w:pPr>
      <w:r w:rsidDel="00000000" w:rsidR="00000000" w:rsidRPr="00000000">
        <w:rPr>
          <w:rtl w:val="0"/>
        </w:rPr>
        <w:t xml:space="preserve">2. Richer, Higher-Fidelity Intake Data</w:t>
      </w:r>
    </w:p>
    <w:p w:rsidR="00000000" w:rsidDel="00000000" w:rsidP="00000000" w:rsidRDefault="00000000" w:rsidRPr="00000000" w14:paraId="00000005">
      <w:pPr>
        <w:rPr/>
      </w:pPr>
      <w:r w:rsidDel="00000000" w:rsidR="00000000" w:rsidRPr="00000000">
        <w:rPr>
          <w:rtl w:val="0"/>
        </w:rPr>
        <w:t xml:space="preserve">EdCortex’s profiling begins with a 75-question cognitive survey, analyzed via Exploratory Factor Analysis (EFA) and Latent Profile Analysis (LPA) — a methodologically sound approach, but one constrained by the quality of its input. A fixed-response questionnaire is a thin signal. For neurodivergent learners in particular (e.g., ADHD), a 75-item survey carries real engagement risk: fatigue, rushing, and disengagement corrupt the very data the model depends on. Garbage in, garbage out.</w:t>
      </w:r>
    </w:p>
    <w:p w:rsidR="00000000" w:rsidDel="00000000" w:rsidP="00000000" w:rsidRDefault="00000000" w:rsidRPr="00000000" w14:paraId="00000006">
      <w:pPr>
        <w:rPr/>
      </w:pPr>
      <w:r w:rsidDel="00000000" w:rsidR="00000000" w:rsidRPr="00000000">
        <w:rPr>
          <w:rtl w:val="0"/>
        </w:rPr>
        <w:t xml:space="preserve">LMS.AI’s cold-start intake is multimodal by design: structured survey, video analysis, handwritten notes (processed via Google Vision API and LLM scoring), and AI audio conversation. Crucially, learners can also upload notes, journals, and research — producing open-ended, stream-of-consciousness data that reveals how a person actually thinks, not just how they respond to forced-choice items. Higher data quality at intake means a sharper cognitive profile, a better initial prior for the bandit, and meaningfully fewer interactions before recommendations converge.</w:t>
      </w:r>
    </w:p>
    <w:p w:rsidR="00000000" w:rsidDel="00000000" w:rsidP="00000000" w:rsidRDefault="00000000" w:rsidRPr="00000000" w14:paraId="00000007">
      <w:pPr>
        <w:rPr/>
      </w:pPr>
      <w:r w:rsidDel="00000000" w:rsidR="00000000" w:rsidRPr="00000000">
        <w:rPr>
          <w:rtl w:val="0"/>
        </w:rPr>
        <w:t xml:space="preserve">3. No Motivational Architecture</w:t>
      </w:r>
    </w:p>
    <w:p w:rsidR="00000000" w:rsidDel="00000000" w:rsidP="00000000" w:rsidRDefault="00000000" w:rsidRPr="00000000" w14:paraId="00000008">
      <w:pPr>
        <w:rPr/>
      </w:pPr>
      <w:r w:rsidDel="00000000" w:rsidR="00000000" w:rsidRPr="00000000">
        <w:rPr>
          <w:rtl w:val="0"/>
        </w:rPr>
        <w:t xml:space="preserve">EdCortex profiles cognitive dimensions but has no published motivational layer. LMS.AI integrates the CUTRICE framework (Serice’s neuro-prism, grounded in Self-Determination Theory) alongside Ikigai for career-alignment. This isn’t an add-on — it directly addresses the primary reason career transitioners disengage from learning programs. Cognitive fit without motivational alignment is an incomplete model of why people learn or quit.[Attachment]</w:t>
      </w:r>
    </w:p>
    <w:p w:rsidR="00000000" w:rsidDel="00000000" w:rsidP="00000000" w:rsidRDefault="00000000" w:rsidRPr="00000000" w14:paraId="00000009">
      <w:pPr>
        <w:rPr/>
      </w:pPr>
      <w:r w:rsidDel="00000000" w:rsidR="00000000" w:rsidRPr="00000000">
        <w:rPr>
          <w:rtl w:val="0"/>
        </w:rPr>
        <w:t xml:space="preserve">4. Vertical Specificity as a Technical Advantage</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EdCortex targets general workforce upskilling globally. LMS.AI is built specifically for career transitioners, which means the profile schema, course metadata tagging, and RL reward signal are tuned to career-outcome proxies: job placement readiness, role confidence, and progression through the Discovery → Commitment lifecycle. A tighter, domain-specific reward signal produces better RL performance — and a clearer go-to-market story.[Attachment]</w:t>
      </w:r>
    </w:p>
    <w:p w:rsidR="00000000" w:rsidDel="00000000" w:rsidP="00000000" w:rsidRDefault="00000000" w:rsidRPr="00000000" w14:paraId="0000000B">
      <w:pPr>
        <w:rPr/>
      </w:pPr>
      <w:r w:rsidDel="00000000" w:rsidR="00000000" w:rsidRPr="00000000">
        <w:rPr>
          <w:rtl w:val="0"/>
        </w:rPr>
        <w:t xml:space="preserve">5. The Core Structural Gap</w:t>
      </w:r>
    </w:p>
    <w:p w:rsidR="00000000" w:rsidDel="00000000" w:rsidP="00000000" w:rsidRDefault="00000000" w:rsidRPr="00000000" w14:paraId="0000000C">
      <w:pPr>
        <w:rPr/>
      </w:pPr>
      <w:r w:rsidDel="00000000" w:rsidR="00000000" w:rsidRPr="00000000">
        <w:rPr>
          <w:rtl w:val="0"/>
        </w:rPr>
        <w:t xml:space="preserve">Points 1 and 3 compound into LMS.AI’s sharpest moat: EdCortex cannot make a high-quality personalized recommendation to a brand-new user with no behavioral history, and its recommendations do not adapt within a session. LMS.AI solves cold-start through multimodal intake and solves in-session stagnation through real-time bandit updates. That combination — cold-start quality plus continuous adaptation — is the architectural gap EdCortex cannot close without rebuilding its recommendation layer from scratch.</w:t>
      </w:r>
    </w:p>
    <w:sectPr>
      <w:pgSz w:h="16838" w:w="11906" w:orient="portrait"/>
      <w:pgMar w:bottom="0" w:top="425.1968503937008" w:left="0" w:right="425.1968503937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