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hAnsi="Times New Roman" w:eastAsia="宋体"/>
          <w:b/>
          <w:sz w:val="44"/>
          <w:lang w:eastAsia="zh-CN"/>
        </w:rPr>
      </w:pPr>
      <w:bookmarkStart w:id="0" w:name="_GoBack"/>
      <w:bookmarkEnd w:id="0"/>
      <w:r>
        <w:rPr>
          <w:rFonts w:hint="eastAsia" w:hAnsi="Times New Roman"/>
          <w:b/>
          <w:sz w:val="44"/>
        </w:rPr>
        <w:t>承诺书</w:t>
      </w:r>
    </w:p>
    <w:p>
      <w:pPr>
        <w:jc w:val="left"/>
        <w:rPr>
          <w:rFonts w:hint="eastAsia" w:hAnsi="Times New Roman" w:eastAsia="宋体"/>
          <w:sz w:val="28"/>
          <w:szCs w:val="22"/>
          <w:lang w:eastAsia="zh-CN"/>
        </w:rPr>
      </w:pPr>
      <w:r>
        <w:rPr>
          <w:rFonts w:hint="eastAsia" w:hAnsi="Times New Roman"/>
          <w:sz w:val="28"/>
        </w:rPr>
        <w:t>谈判项目：</w:t>
      </w:r>
      <w:r>
        <w:rPr>
          <w:rFonts w:hint="eastAsia" w:hAnsi="Times New Roman"/>
          <w:sz w:val="28"/>
          <w:lang w:val="en-US" w:eastAsia="zh-CN"/>
        </w:rPr>
        <w:t>2021年度圆铸锭</w:t>
      </w:r>
      <w:r>
        <w:rPr>
          <w:rFonts w:hint="eastAsia" w:hAnsi="Times New Roman"/>
          <w:sz w:val="28"/>
          <w:szCs w:val="22"/>
          <w:lang w:val="en-US" w:eastAsia="zh-CN"/>
        </w:rPr>
        <w:t>采购项目自主公开招标转谈判</w:t>
      </w:r>
    </w:p>
    <w:p>
      <w:pPr>
        <w:jc w:val="left"/>
        <w:rPr>
          <w:rFonts w:hint="eastAsia" w:hAnsi="Times New Roman"/>
          <w:sz w:val="28"/>
        </w:rPr>
      </w:pPr>
      <w:r>
        <w:rPr>
          <w:rFonts w:hint="eastAsia" w:hAnsi="Times New Roman"/>
          <w:sz w:val="28"/>
        </w:rPr>
        <w:t>地    点：</w:t>
      </w:r>
      <w:r>
        <w:rPr>
          <w:rFonts w:hint="eastAsia" w:hAnsi="Times New Roman"/>
          <w:sz w:val="28"/>
          <w:lang w:val="en-US" w:eastAsia="zh-CN"/>
        </w:rPr>
        <w:t>411会议室</w:t>
      </w:r>
      <w:r>
        <w:rPr>
          <w:rFonts w:hint="eastAsia" w:hAnsi="Times New Roman"/>
          <w:sz w:val="28"/>
        </w:rPr>
        <w:t xml:space="preserve">                          </w:t>
      </w:r>
    </w:p>
    <w:tbl>
      <w:tblPr>
        <w:tblStyle w:val="25"/>
        <w:tblW w:w="0" w:type="auto"/>
        <w:tblInd w:w="0" w:type="dxa"/>
        <w:tblLayout w:type="fixed"/>
        <w:tblCellMar>
          <w:left w:w="0" w:type="dxa"/>
          <w:right w:w="0" w:type="dxa"/>
        </w:tblCellMar>
      </w:tblPr>
      <w:tblGrid>
        <w:gridCol w:w="909"/>
        <w:gridCol w:w="7770"/>
      </w:tblGrid>
      <w:tr>
        <w:tblPrEx>
          <w:tblCellMar>
            <w:left w:w="0" w:type="dxa"/>
            <w:right w:w="0" w:type="dxa"/>
          </w:tblCellMar>
        </w:tblPrEx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hAnsi="Times New Roman"/>
                <w:sz w:val="28"/>
              </w:rPr>
            </w:pPr>
            <w:r>
              <w:rPr>
                <w:rFonts w:hint="eastAsia" w:hAnsi="Times New Roman"/>
                <w:sz w:val="28"/>
              </w:rPr>
              <w:t>承诺单位</w:t>
            </w:r>
          </w:p>
        </w:tc>
        <w:tc>
          <w:tcPr>
            <w:tcW w:w="7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hAnsi="Times New Roman"/>
                <w:sz w:val="28"/>
                <w:szCs w:val="28"/>
              </w:rPr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trHeight w:val="8769" w:hRule="atLeast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hAnsi="Times New Roman"/>
                <w:sz w:val="28"/>
              </w:rPr>
            </w:pPr>
            <w:r>
              <w:rPr>
                <w:rFonts w:hint="eastAsia" w:hAnsi="Times New Roman"/>
                <w:sz w:val="28"/>
              </w:rPr>
              <w:t>承诺内容、承诺人签名及承诺时间</w:t>
            </w:r>
          </w:p>
        </w:tc>
        <w:tc>
          <w:tcPr>
            <w:tcW w:w="7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tbl>
            <w:tblPr>
              <w:tblStyle w:val="25"/>
              <w:tblpPr w:leftFromText="180" w:rightFromText="180" w:vertAnchor="text" w:horzAnchor="page" w:tblpX="171" w:tblpY="-593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2"/>
              <w:gridCol w:w="1215"/>
              <w:gridCol w:w="825"/>
              <w:gridCol w:w="855"/>
              <w:gridCol w:w="1913"/>
              <w:gridCol w:w="17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1755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75" w:after="75"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4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1215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4"/>
                    </w:rPr>
                    <w:t>物资名称</w:t>
                  </w: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规格型号</w:t>
                  </w:r>
                </w:p>
              </w:tc>
              <w:tc>
                <w:tcPr>
                  <w:tcW w:w="855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4"/>
                      <w:lang w:val="en-US" w:eastAsia="zh-CN"/>
                    </w:rPr>
                    <w:t>单位</w:t>
                  </w:r>
                </w:p>
              </w:tc>
              <w:tc>
                <w:tcPr>
                  <w:tcW w:w="1913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hint="eastAsia" w:ascii="宋体" w:hAnsi="宋体" w:cs="宋体"/>
                      <w:b/>
                      <w:bCs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  <w:t>加工费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auto"/>
                      <w:kern w:val="0"/>
                      <w:sz w:val="24"/>
                      <w:lang w:val="en-US" w:eastAsia="zh-CN"/>
                    </w:rPr>
                    <w:t>最高限价含税单价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  <w:t>（元/吨）</w:t>
                  </w:r>
                  <w:r>
                    <w:rPr>
                      <w:rFonts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  <w:t>货到延平东站</w:t>
                  </w:r>
                </w:p>
              </w:tc>
              <w:tc>
                <w:tcPr>
                  <w:tcW w:w="173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  <w:t>均质加工费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auto"/>
                      <w:kern w:val="0"/>
                      <w:sz w:val="24"/>
                      <w:lang w:val="en-US" w:eastAsia="zh-CN"/>
                    </w:rPr>
                    <w:t>最高限价含税单价</w:t>
                  </w:r>
                </w:p>
                <w:p>
                  <w:pPr>
                    <w:widowControl/>
                    <w:spacing w:line="380" w:lineRule="exact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  <w:t>（元/吨）</w:t>
                  </w:r>
                </w:p>
                <w:p>
                  <w:pPr>
                    <w:widowControl/>
                    <w:spacing w:line="380" w:lineRule="exact"/>
                    <w:jc w:val="center"/>
                    <w:rPr>
                      <w:rFonts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401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包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1215" w:type="dxa"/>
                  <w:vMerge w:val="restart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063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hint="eastAsia" w:ascii="宋体" w:hAnsi="宋体" w:eastAsia="宋体" w:cs="Times New Roman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6063</w:t>
                  </w: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  <w:lang w:eastAsia="zh-CN"/>
                    </w:rPr>
                    <w:t>G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6060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6060S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6005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hint="eastAsia" w:ascii="宋体" w:hAnsi="宋体" w:eastAsia="宋体" w:cs="Times New Roman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6005B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szCs w:val="24"/>
                    </w:rPr>
                    <w:t>变形铝及铝合金圆铸锭</w:t>
                  </w: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Φ100</w:t>
                  </w:r>
                </w:p>
              </w:tc>
              <w:tc>
                <w:tcPr>
                  <w:tcW w:w="855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吨</w:t>
                  </w:r>
                </w:p>
              </w:tc>
              <w:tc>
                <w:tcPr>
                  <w:tcW w:w="1913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1732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hint="default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401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包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1215" w:type="dxa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Φ127</w:t>
                  </w:r>
                </w:p>
              </w:tc>
              <w:tc>
                <w:tcPr>
                  <w:tcW w:w="855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吨</w:t>
                  </w:r>
                </w:p>
              </w:tc>
              <w:tc>
                <w:tcPr>
                  <w:tcW w:w="1913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732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hint="default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90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包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6</w:t>
                  </w:r>
                </w:p>
              </w:tc>
              <w:tc>
                <w:tcPr>
                  <w:tcW w:w="1215" w:type="dxa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Φ178</w:t>
                  </w:r>
                </w:p>
              </w:tc>
              <w:tc>
                <w:tcPr>
                  <w:tcW w:w="855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吨</w:t>
                  </w:r>
                </w:p>
              </w:tc>
              <w:tc>
                <w:tcPr>
                  <w:tcW w:w="1913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1732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hint="default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401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包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7</w:t>
                  </w:r>
                </w:p>
              </w:tc>
              <w:tc>
                <w:tcPr>
                  <w:tcW w:w="1215" w:type="dxa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Φ212</w:t>
                  </w:r>
                </w:p>
              </w:tc>
              <w:tc>
                <w:tcPr>
                  <w:tcW w:w="855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吨</w:t>
                  </w:r>
                </w:p>
              </w:tc>
              <w:tc>
                <w:tcPr>
                  <w:tcW w:w="1913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1732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  <w:t>/</w:t>
                  </w:r>
                </w:p>
              </w:tc>
            </w:tr>
          </w:tbl>
          <w:p>
            <w:pPr>
              <w:widowControl/>
              <w:spacing w:line="360" w:lineRule="auto"/>
              <w:jc w:val="left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  <w:r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  <w:t>备注：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定价方式：单价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基价+加工费，单价含运费、含13%增值税（加工费为含税价，如遇国家政策税率调整，税前价保持不变）。基价是指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eastAsia="zh-CN"/>
              </w:rPr>
              <w:t>采购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人订单下达当周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eastAsia="zh-CN"/>
              </w:rPr>
              <w:t>或当月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上海长江有色金属现货市场A00铝锭日均价的算术平均价。</w:t>
            </w:r>
          </w:p>
          <w:p>
            <w:pPr>
              <w:pStyle w:val="16"/>
              <w:spacing w:line="360" w:lineRule="auto"/>
              <w:ind w:firstLine="480" w:firstLineChars="200"/>
              <w:jc w:val="left"/>
              <w:rPr>
                <w:rFonts w:hAnsi="宋体" w:cs="宋体"/>
                <w:color w:val="auto"/>
                <w:kern w:val="0"/>
                <w:sz w:val="24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2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>.</w:t>
            </w:r>
            <w:r>
              <w:rPr>
                <w:rFonts w:hint="eastAsia" w:hAnsi="宋体" w:cs="宋体"/>
                <w:b/>
                <w:color w:val="auto"/>
                <w:kern w:val="0"/>
                <w:sz w:val="24"/>
                <w:szCs w:val="22"/>
              </w:rPr>
              <w:t>报价表中只需填写加工费，加工费统一按延平东站交货报价、评标。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若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eastAsia="zh-CN"/>
              </w:rPr>
              <w:t>中标人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在后续合同履行中可交货到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eastAsia="zh-CN"/>
              </w:rPr>
              <w:t>招标人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铁路专用线的（只接受敞篷车），另行相应加价10元/吨，可交货到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eastAsia="zh-CN"/>
              </w:rPr>
              <w:t>招标人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厂内的，另行相应加价20元/吨。</w:t>
            </w:r>
          </w:p>
          <w:p>
            <w:pPr>
              <w:pStyle w:val="16"/>
              <w:spacing w:line="360" w:lineRule="auto"/>
              <w:ind w:firstLine="480" w:firstLineChars="200"/>
              <w:jc w:val="left"/>
              <w:rPr>
                <w:rFonts w:hAnsi="宋体" w:cs="宋体"/>
                <w:color w:val="auto"/>
                <w:kern w:val="0"/>
                <w:sz w:val="24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3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>.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圆铸锭供货长度：5.8m或6.0m（以订单为准）。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firstLine="480" w:firstLineChars="200"/>
              <w:jc w:val="both"/>
              <w:textAlignment w:val="auto"/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4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>.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我司同意接收货款总额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%的银行承兑汇票（票期6个月以内）。</w:t>
            </w:r>
          </w:p>
          <w:p>
            <w:pPr>
              <w:pStyle w:val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 xml:space="preserve">     5.对本次谈判过程无异议。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  <w:r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  <w:t xml:space="preserve">                         姓名：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  <w:r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  <w:t xml:space="preserve">                         身份证：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Times New Roman" w:eastAsia="宋体"/>
                <w:sz w:val="28"/>
                <w:lang w:eastAsia="zh-CN"/>
              </w:rPr>
            </w:pPr>
            <w:r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  <w:t xml:space="preserve">                           日期：</w:t>
            </w:r>
          </w:p>
        </w:tc>
      </w:tr>
    </w:tbl>
    <w:p>
      <w:pPr>
        <w:rPr>
          <w:rFonts w:hint="eastAsia" w:hAnsi="Times New Roman"/>
          <w:sz w:val="28"/>
        </w:rPr>
      </w:pPr>
      <w:r>
        <w:rPr>
          <w:rFonts w:hint="eastAsia" w:hAnsi="Times New Roman"/>
          <w:sz w:val="28"/>
        </w:rPr>
        <w:t>注：本承诺书适用于技术答疑、技术变更说明、报价。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hyphenationZone w:val="360"/>
  <w:displayHorizontalDrawingGridEvery w:val="0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90"/>
    <w:rsid w:val="0002478A"/>
    <w:rsid w:val="00057C29"/>
    <w:rsid w:val="000633F6"/>
    <w:rsid w:val="000778EC"/>
    <w:rsid w:val="000C1637"/>
    <w:rsid w:val="0014250F"/>
    <w:rsid w:val="00180B98"/>
    <w:rsid w:val="001B6B32"/>
    <w:rsid w:val="001F0594"/>
    <w:rsid w:val="001F3690"/>
    <w:rsid w:val="0024128D"/>
    <w:rsid w:val="00254403"/>
    <w:rsid w:val="00277F65"/>
    <w:rsid w:val="00320C4F"/>
    <w:rsid w:val="00327E43"/>
    <w:rsid w:val="003526BB"/>
    <w:rsid w:val="003B43D4"/>
    <w:rsid w:val="003F5884"/>
    <w:rsid w:val="00431825"/>
    <w:rsid w:val="004B2209"/>
    <w:rsid w:val="00507076"/>
    <w:rsid w:val="005077C8"/>
    <w:rsid w:val="005F19A6"/>
    <w:rsid w:val="005F51BF"/>
    <w:rsid w:val="00613C8A"/>
    <w:rsid w:val="00654A4F"/>
    <w:rsid w:val="006C1646"/>
    <w:rsid w:val="00814762"/>
    <w:rsid w:val="008A6AE4"/>
    <w:rsid w:val="0099308B"/>
    <w:rsid w:val="00AD7944"/>
    <w:rsid w:val="00B12412"/>
    <w:rsid w:val="00B80A1E"/>
    <w:rsid w:val="00BB0324"/>
    <w:rsid w:val="00BD4B51"/>
    <w:rsid w:val="00C7673A"/>
    <w:rsid w:val="00CA673B"/>
    <w:rsid w:val="00CC429D"/>
    <w:rsid w:val="00D11B2B"/>
    <w:rsid w:val="00D21D0B"/>
    <w:rsid w:val="00D65529"/>
    <w:rsid w:val="00DA064B"/>
    <w:rsid w:val="00E0005F"/>
    <w:rsid w:val="00E515CD"/>
    <w:rsid w:val="00E61095"/>
    <w:rsid w:val="00EA7A6F"/>
    <w:rsid w:val="00EC359C"/>
    <w:rsid w:val="00F008BA"/>
    <w:rsid w:val="00F42681"/>
    <w:rsid w:val="04F502A2"/>
    <w:rsid w:val="0584320E"/>
    <w:rsid w:val="0B7E48F7"/>
    <w:rsid w:val="1A50357E"/>
    <w:rsid w:val="1D0D77CF"/>
    <w:rsid w:val="1FDB19A5"/>
    <w:rsid w:val="287A4429"/>
    <w:rsid w:val="31F30501"/>
    <w:rsid w:val="3D531CB1"/>
    <w:rsid w:val="44FC5D3D"/>
    <w:rsid w:val="4CB81289"/>
    <w:rsid w:val="4D5113A6"/>
    <w:rsid w:val="4DFB1C08"/>
    <w:rsid w:val="4DFC12B6"/>
    <w:rsid w:val="51491D18"/>
    <w:rsid w:val="546D3595"/>
    <w:rsid w:val="55EF7BF3"/>
    <w:rsid w:val="5D6517A1"/>
    <w:rsid w:val="65455F73"/>
    <w:rsid w:val="799E7C6F"/>
    <w:rsid w:val="7FB91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/>
      <w:sz w:val="21"/>
      <w:lang w:val="en-US" w:eastAsia="zh-CN" w:bidi="ar-SA"/>
    </w:rPr>
  </w:style>
  <w:style w:type="paragraph" w:styleId="3">
    <w:name w:val="heading 1"/>
    <w:next w:val="1"/>
    <w:qFormat/>
    <w:uiPriority w:val="0"/>
    <w:pPr>
      <w:wordWrap w:val="0"/>
      <w:spacing w:after="160"/>
      <w:jc w:val="both"/>
      <w:outlineLvl w:val="0"/>
    </w:pPr>
    <w:rPr>
      <w:sz w:val="28"/>
      <w:lang w:val="en-US" w:eastAsia="zh-CN" w:bidi="ar-SA"/>
    </w:rPr>
  </w:style>
  <w:style w:type="paragraph" w:styleId="4">
    <w:name w:val="heading 2"/>
    <w:next w:val="1"/>
    <w:qFormat/>
    <w:uiPriority w:val="0"/>
    <w:pPr>
      <w:wordWrap w:val="0"/>
      <w:spacing w:after="160"/>
      <w:jc w:val="both"/>
      <w:outlineLvl w:val="1"/>
    </w:pPr>
    <w:rPr>
      <w:sz w:val="21"/>
      <w:lang w:val="en-US" w:eastAsia="zh-CN" w:bidi="ar-SA"/>
    </w:rPr>
  </w:style>
  <w:style w:type="paragraph" w:styleId="5">
    <w:name w:val="heading 3"/>
    <w:next w:val="1"/>
    <w:qFormat/>
    <w:uiPriority w:val="0"/>
    <w:pPr>
      <w:wordWrap w:val="0"/>
      <w:spacing w:after="160"/>
      <w:ind w:left="1400" w:hanging="400"/>
      <w:jc w:val="both"/>
      <w:outlineLvl w:val="2"/>
    </w:pPr>
    <w:rPr>
      <w:sz w:val="21"/>
      <w:lang w:val="en-US" w:eastAsia="zh-CN" w:bidi="ar-SA"/>
    </w:rPr>
  </w:style>
  <w:style w:type="paragraph" w:styleId="6">
    <w:name w:val="heading 4"/>
    <w:next w:val="1"/>
    <w:qFormat/>
    <w:uiPriority w:val="0"/>
    <w:pPr>
      <w:wordWrap w:val="0"/>
      <w:spacing w:after="160"/>
      <w:ind w:left="1600" w:hanging="400"/>
      <w:jc w:val="both"/>
      <w:outlineLvl w:val="3"/>
    </w:pPr>
    <w:rPr>
      <w:b/>
      <w:sz w:val="21"/>
      <w:lang w:val="en-US" w:eastAsia="zh-CN" w:bidi="ar-SA"/>
    </w:rPr>
  </w:style>
  <w:style w:type="paragraph" w:styleId="7">
    <w:name w:val="heading 5"/>
    <w:next w:val="1"/>
    <w:qFormat/>
    <w:uiPriority w:val="0"/>
    <w:pPr>
      <w:wordWrap w:val="0"/>
      <w:spacing w:after="160"/>
      <w:ind w:left="1800" w:hanging="400"/>
      <w:jc w:val="both"/>
      <w:outlineLvl w:val="4"/>
    </w:pPr>
    <w:rPr>
      <w:sz w:val="21"/>
      <w:lang w:val="en-US" w:eastAsia="zh-CN" w:bidi="ar-SA"/>
    </w:rPr>
  </w:style>
  <w:style w:type="paragraph" w:styleId="8">
    <w:name w:val="heading 6"/>
    <w:next w:val="1"/>
    <w:qFormat/>
    <w:uiPriority w:val="0"/>
    <w:pPr>
      <w:wordWrap w:val="0"/>
      <w:spacing w:after="160"/>
      <w:ind w:left="2000" w:hanging="400"/>
      <w:jc w:val="both"/>
      <w:outlineLvl w:val="5"/>
    </w:pPr>
    <w:rPr>
      <w:b/>
      <w:sz w:val="21"/>
      <w:lang w:val="en-US" w:eastAsia="zh-CN" w:bidi="ar-SA"/>
    </w:rPr>
  </w:style>
  <w:style w:type="paragraph" w:styleId="9">
    <w:name w:val="heading 7"/>
    <w:next w:val="1"/>
    <w:qFormat/>
    <w:uiPriority w:val="0"/>
    <w:pPr>
      <w:wordWrap w:val="0"/>
      <w:spacing w:after="160"/>
      <w:ind w:left="2200" w:hanging="400"/>
      <w:jc w:val="both"/>
      <w:outlineLvl w:val="6"/>
    </w:pPr>
    <w:rPr>
      <w:sz w:val="21"/>
      <w:lang w:val="en-US" w:eastAsia="zh-CN" w:bidi="ar-SA"/>
    </w:rPr>
  </w:style>
  <w:style w:type="paragraph" w:styleId="10">
    <w:name w:val="heading 8"/>
    <w:next w:val="1"/>
    <w:qFormat/>
    <w:uiPriority w:val="0"/>
    <w:pPr>
      <w:wordWrap w:val="0"/>
      <w:spacing w:after="160"/>
      <w:ind w:left="2400" w:hanging="400"/>
      <w:jc w:val="both"/>
      <w:outlineLvl w:val="7"/>
    </w:pPr>
    <w:rPr>
      <w:sz w:val="21"/>
      <w:lang w:val="en-US" w:eastAsia="zh-CN" w:bidi="ar-SA"/>
    </w:rPr>
  </w:style>
  <w:style w:type="paragraph" w:styleId="11">
    <w:name w:val="heading 9"/>
    <w:next w:val="1"/>
    <w:qFormat/>
    <w:uiPriority w:val="0"/>
    <w:pPr>
      <w:wordWrap w:val="0"/>
      <w:spacing w:after="160"/>
      <w:ind w:left="2600" w:hanging="400"/>
      <w:jc w:val="both"/>
      <w:outlineLvl w:val="8"/>
    </w:pPr>
    <w:rPr>
      <w:sz w:val="21"/>
      <w:lang w:val="en-US" w:eastAsia="zh-CN" w:bidi="ar-SA"/>
    </w:rPr>
  </w:style>
  <w:style w:type="character" w:default="1" w:styleId="26">
    <w:name w:val="Default Paragraph Font"/>
    <w:uiPriority w:val="0"/>
    <w:rPr>
      <w:sz w:val="20"/>
    </w:rPr>
  </w:style>
  <w:style w:type="table" w:default="1" w:styleId="25">
    <w:name w:val="Normal Table"/>
    <w:uiPriority w:val="0"/>
    <w:pPr>
      <w:widowControl/>
      <w:autoSpaceDE/>
      <w:autoSpaceDN/>
      <w:spacing w:before="0" w:after="0" w:line="240" w:lineRule="auto"/>
      <w:ind w:left="0" w:firstLine="0"/>
    </w:pPr>
    <w:rPr>
      <w:sz w:val="20"/>
    </w:rPr>
    <w:tblPr>
      <w:tblStyle w:val="25"/>
      <w:tblCellMar>
        <w:left w:w="108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12">
    <w:name w:val="toc 7"/>
    <w:next w:val="1"/>
    <w:uiPriority w:val="0"/>
    <w:pPr>
      <w:wordWrap w:val="0"/>
      <w:ind w:left="2125"/>
      <w:jc w:val="both"/>
    </w:pPr>
    <w:rPr>
      <w:sz w:val="21"/>
      <w:lang w:val="en-US" w:eastAsia="zh-CN" w:bidi="ar-SA"/>
    </w:rPr>
  </w:style>
  <w:style w:type="paragraph" w:styleId="13">
    <w:name w:val="Normal Indent"/>
    <w:next w:val="1"/>
    <w:uiPriority w:val="0"/>
    <w:pPr>
      <w:wordWrap w:val="0"/>
      <w:ind w:left="3400"/>
      <w:jc w:val="both"/>
    </w:pPr>
    <w:rPr>
      <w:sz w:val="21"/>
      <w:lang w:val="en-US" w:eastAsia="zh-CN" w:bidi="ar-SA"/>
    </w:rPr>
  </w:style>
  <w:style w:type="paragraph" w:styleId="14">
    <w:name w:val="toc 5"/>
    <w:next w:val="1"/>
    <w:uiPriority w:val="0"/>
    <w:pPr>
      <w:wordWrap w:val="0"/>
      <w:ind w:left="1275"/>
      <w:jc w:val="both"/>
    </w:pPr>
    <w:rPr>
      <w:sz w:val="21"/>
      <w:lang w:val="en-US" w:eastAsia="zh-CN" w:bidi="ar-SA"/>
    </w:rPr>
  </w:style>
  <w:style w:type="paragraph" w:styleId="15">
    <w:name w:val="toc 3"/>
    <w:next w:val="1"/>
    <w:uiPriority w:val="0"/>
    <w:pPr>
      <w:wordWrap w:val="0"/>
      <w:ind w:left="425"/>
      <w:jc w:val="both"/>
    </w:pPr>
    <w:rPr>
      <w:sz w:val="21"/>
      <w:lang w:val="en-US" w:eastAsia="zh-CN" w:bidi="ar-SA"/>
    </w:rPr>
  </w:style>
  <w:style w:type="paragraph" w:styleId="16">
    <w:name w:val="Plain Text"/>
    <w:basedOn w:val="1"/>
    <w:next w:val="1"/>
    <w:uiPriority w:val="0"/>
    <w:pPr>
      <w:widowControl w:val="0"/>
      <w:autoSpaceDE/>
      <w:autoSpaceDN/>
      <w:spacing w:before="0" w:after="0" w:line="240" w:lineRule="auto"/>
      <w:ind w:left="0" w:firstLine="0"/>
      <w:jc w:val="both"/>
    </w:pPr>
    <w:rPr>
      <w:rFonts w:ascii="宋体" w:eastAsia="宋体"/>
      <w:sz w:val="18"/>
    </w:rPr>
  </w:style>
  <w:style w:type="paragraph" w:styleId="17">
    <w:name w:val="toc 8"/>
    <w:next w:val="1"/>
    <w:uiPriority w:val="0"/>
    <w:pPr>
      <w:wordWrap w:val="0"/>
      <w:ind w:left="2550"/>
      <w:jc w:val="both"/>
    </w:pPr>
    <w:rPr>
      <w:sz w:val="21"/>
      <w:lang w:val="en-US" w:eastAsia="zh-CN" w:bidi="ar-SA"/>
    </w:rPr>
  </w:style>
  <w:style w:type="paragraph" w:styleId="18">
    <w:name w:val="footer"/>
    <w:basedOn w:val="1"/>
    <w:next w:val="1"/>
    <w:uiPriority w:val="0"/>
    <w:pPr>
      <w:widowControl w:val="0"/>
      <w:autoSpaceDE/>
      <w:autoSpaceDN/>
      <w:spacing w:before="0" w:after="0" w:line="240" w:lineRule="auto"/>
      <w:ind w:left="0" w:firstLine="0"/>
    </w:pPr>
    <w:rPr>
      <w:rFonts w:ascii="Times New Roman" w:eastAsia="宋体"/>
      <w:sz w:val="18"/>
    </w:rPr>
  </w:style>
  <w:style w:type="paragraph" w:styleId="19">
    <w:name w:val="header"/>
    <w:basedOn w:val="1"/>
    <w:next w:val="1"/>
    <w:uiPriority w:val="0"/>
    <w:pPr>
      <w:widowControl w:val="0"/>
      <w:autoSpaceDE/>
      <w:autoSpaceDN/>
      <w:spacing w:before="0" w:after="0" w:line="240" w:lineRule="auto"/>
      <w:ind w:left="0" w:firstLine="0"/>
      <w:jc w:val="both"/>
    </w:pPr>
    <w:rPr>
      <w:rFonts w:ascii="Times New Roman" w:eastAsia="宋体"/>
      <w:sz w:val="18"/>
    </w:rPr>
  </w:style>
  <w:style w:type="paragraph" w:styleId="20">
    <w:name w:val="toc 4"/>
    <w:next w:val="1"/>
    <w:uiPriority w:val="0"/>
    <w:pPr>
      <w:wordWrap w:val="0"/>
      <w:ind w:left="850"/>
      <w:jc w:val="both"/>
    </w:pPr>
    <w:rPr>
      <w:sz w:val="21"/>
      <w:lang w:val="en-US" w:eastAsia="zh-CN" w:bidi="ar-SA"/>
    </w:rPr>
  </w:style>
  <w:style w:type="paragraph" w:styleId="21">
    <w:name w:val="Subtitle"/>
    <w:next w:val="1"/>
    <w:qFormat/>
    <w:uiPriority w:val="0"/>
    <w:pPr>
      <w:wordWrap w:val="0"/>
      <w:spacing w:after="60"/>
      <w:jc w:val="center"/>
    </w:pPr>
    <w:rPr>
      <w:sz w:val="24"/>
      <w:lang w:val="en-US" w:eastAsia="zh-CN" w:bidi="ar-SA"/>
    </w:rPr>
  </w:style>
  <w:style w:type="paragraph" w:styleId="22">
    <w:name w:val="toc 6"/>
    <w:next w:val="1"/>
    <w:uiPriority w:val="0"/>
    <w:pPr>
      <w:wordWrap w:val="0"/>
      <w:ind w:left="1700"/>
      <w:jc w:val="both"/>
    </w:pPr>
    <w:rPr>
      <w:sz w:val="21"/>
      <w:lang w:val="en-US" w:eastAsia="zh-CN" w:bidi="ar-SA"/>
    </w:rPr>
  </w:style>
  <w:style w:type="paragraph" w:styleId="23">
    <w:name w:val="toc 2"/>
    <w:next w:val="1"/>
    <w:uiPriority w:val="0"/>
    <w:pPr>
      <w:wordWrap w:val="0"/>
      <w:jc w:val="both"/>
    </w:pPr>
    <w:rPr>
      <w:sz w:val="21"/>
      <w:lang w:val="en-US" w:eastAsia="zh-CN" w:bidi="ar-SA"/>
    </w:rPr>
  </w:style>
  <w:style w:type="paragraph" w:styleId="24">
    <w:name w:val="toc 9"/>
    <w:next w:val="1"/>
    <w:uiPriority w:val="0"/>
    <w:pPr>
      <w:wordWrap w:val="0"/>
      <w:ind w:left="2975"/>
      <w:jc w:val="both"/>
    </w:pPr>
    <w:rPr>
      <w:sz w:val="21"/>
      <w:lang w:val="en-US" w:eastAsia="zh-CN" w:bidi="ar-SA"/>
    </w:rPr>
  </w:style>
  <w:style w:type="character" w:styleId="27">
    <w:name w:val="Strong"/>
    <w:qFormat/>
    <w:uiPriority w:val="0"/>
    <w:rPr>
      <w:b/>
      <w:sz w:val="21"/>
    </w:rPr>
  </w:style>
  <w:style w:type="character" w:styleId="28">
    <w:name w:val="page number"/>
    <w:basedOn w:val="26"/>
    <w:uiPriority w:val="0"/>
    <w:rPr>
      <w:sz w:val="20"/>
    </w:rPr>
  </w:style>
  <w:style w:type="character" w:styleId="29">
    <w:name w:val="Emphasis"/>
    <w:qFormat/>
    <w:uiPriority w:val="0"/>
    <w:rPr>
      <w:i/>
      <w:sz w:val="21"/>
    </w:rPr>
  </w:style>
  <w:style w:type="paragraph" w:styleId="30">
    <w:name w:val="Quote"/>
    <w:next w:val="1"/>
    <w:qFormat/>
    <w:uiPriority w:val="0"/>
    <w:pPr>
      <w:wordWrap w:val="0"/>
      <w:spacing w:before="200" w:after="160"/>
      <w:ind w:left="864" w:right="864"/>
      <w:jc w:val="center"/>
    </w:pPr>
    <w:rPr>
      <w:i/>
      <w:color w:val="auto"/>
      <w:sz w:val="21"/>
      <w:lang w:val="en-US" w:eastAsia="zh-CN" w:bidi="ar-SA"/>
    </w:rPr>
  </w:style>
  <w:style w:type="paragraph" w:styleId="31">
    <w:name w:val=""/>
    <w:next w:val="1"/>
    <w:qFormat/>
    <w:uiPriority w:val="0"/>
    <w:pPr>
      <w:wordWrap w:val="0"/>
    </w:pPr>
    <w:rPr>
      <w:color w:val="auto"/>
      <w:sz w:val="32"/>
      <w:lang w:val="en-US" w:eastAsia="zh-CN" w:bidi="ar-SA"/>
    </w:rPr>
  </w:style>
  <w:style w:type="paragraph" w:styleId="32">
    <w:name w:val="Intense Quote"/>
    <w:next w:val="1"/>
    <w:qFormat/>
    <w:uiPriority w:val="0"/>
    <w:pPr>
      <w:wordWrap w:val="0"/>
      <w:spacing w:before="360" w:after="360"/>
      <w:ind w:left="950" w:right="950"/>
      <w:jc w:val="center"/>
    </w:pPr>
    <w:rPr>
      <w:i/>
      <w:color w:val="auto"/>
      <w:sz w:val="21"/>
      <w:lang w:val="en-US" w:eastAsia="zh-CN" w:bidi="ar-SA"/>
    </w:rPr>
  </w:style>
  <w:style w:type="paragraph" w:styleId="33">
    <w:name w:val="List Paragraph"/>
    <w:next w:val="1"/>
    <w:qFormat/>
    <w:uiPriority w:val="0"/>
    <w:pPr>
      <w:wordWrap w:val="0"/>
      <w:ind w:left="850"/>
      <w:jc w:val="both"/>
    </w:pPr>
    <w:rPr>
      <w:sz w:val="21"/>
      <w:lang w:val="en-US" w:eastAsia="zh-CN" w:bidi="ar-SA"/>
    </w:rPr>
  </w:style>
  <w:style w:type="character" w:styleId="34">
    <w:name w:val=""/>
    <w:qFormat/>
    <w:uiPriority w:val="0"/>
    <w:rPr>
      <w:b/>
      <w:i/>
      <w:sz w:val="21"/>
    </w:rPr>
  </w:style>
  <w:style w:type="character" w:styleId="35">
    <w:name w:val=""/>
    <w:qFormat/>
    <w:uiPriority w:val="0"/>
    <w:rPr>
      <w:color w:val="auto"/>
      <w:sz w:val="21"/>
    </w:rPr>
  </w:style>
  <w:style w:type="character" w:styleId="36">
    <w:name w:val=""/>
    <w:qFormat/>
    <w:uiPriority w:val="0"/>
    <w:rPr>
      <w:i/>
      <w:color w:val="auto"/>
      <w:sz w:val="21"/>
    </w:rPr>
  </w:style>
  <w:style w:type="character" w:styleId="37">
    <w:name w:val=""/>
    <w:qFormat/>
    <w:uiPriority w:val="0"/>
    <w:rPr>
      <w:b/>
      <w:color w:val="auto"/>
      <w:sz w:val="21"/>
    </w:rPr>
  </w:style>
  <w:style w:type="character" w:styleId="38">
    <w:name w:val=""/>
    <w:qFormat/>
    <w:uiPriority w:val="0"/>
    <w:rPr>
      <w:i/>
      <w:color w:val="auto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TotalTime>2</TotalTime>
  <ScaleCrop>false</ScaleCrop>
  <LinksUpToDate>false</LinksUpToDate>
  <CharactersWithSpaces>125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2018-10-25T23:54:00Z</dcterms:created>
  <dc:creator>Administrator</dc:creator>
  <cp:lastModifiedBy>hmhu</cp:lastModifiedBy>
  <cp:lastPrinted>2007-01-07T02:10:29Z</cp:lastPrinted>
  <dcterms:modified xsi:type="dcterms:W3CDTF">2021-01-08T09:04:29Z</dcterms:modified>
  <dc:title>投标人对投标文件密封情况确认及开标签到表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