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19" w:rsidRPr="005C5819" w:rsidRDefault="00806F2E" w:rsidP="005C5819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D57AC">
        <w:rPr>
          <w:rFonts w:ascii="微软雅黑" w:eastAsia="微软雅黑" w:hAnsi="微软雅黑" w:cs="Arial"/>
          <w:color w:val="333333"/>
          <w:kern w:val="0"/>
          <w:szCs w:val="21"/>
        </w:rPr>
        <w:t>启发式规则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2130"/>
        <w:gridCol w:w="7050"/>
      </w:tblGrid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启发式规则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系统状态可视性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5C5819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系统与用户现实世界的匹配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用户的控制权与自主权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一致性与标准化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帮助用户识别、诊断和修复错误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预防错误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依赖识别而非记忆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使用的灵活性与有效性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最小化设计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帮助与文档</w:t>
            </w:r>
          </w:p>
        </w:tc>
      </w:tr>
    </w:tbl>
    <w:p w:rsidR="004D57AC" w:rsidRDefault="004D57AC" w:rsidP="005C5819">
      <w:pPr>
        <w:jc w:val="left"/>
        <w:rPr>
          <w:rFonts w:ascii="微软雅黑" w:eastAsia="微软雅黑" w:hAnsi="微软雅黑"/>
        </w:rPr>
      </w:pPr>
      <w:r w:rsidRPr="004D57AC">
        <w:rPr>
          <w:rFonts w:ascii="微软雅黑" w:eastAsia="微软雅黑" w:hAnsi="微软雅黑"/>
        </w:rPr>
        <w:t>可用性问题的严重程度等级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A76222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定义及描述</w:t>
            </w:r>
          </w:p>
        </w:tc>
      </w:tr>
      <w:tr w:rsidR="00A76222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辅助的或次要的，造成较小困难</w:t>
            </w:r>
          </w:p>
        </w:tc>
      </w:tr>
      <w:tr w:rsidR="00A76222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造成使用方面的一些问题或使用户受挫，不过能够解决</w:t>
            </w:r>
          </w:p>
        </w:tc>
      </w:tr>
      <w:tr w:rsidR="00A76222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严重影响用户使用，用户会失败或遇到很大困难</w:t>
            </w:r>
          </w:p>
        </w:tc>
      </w:tr>
    </w:tbl>
    <w:p w:rsidR="00A76222" w:rsidRPr="004D57AC" w:rsidRDefault="00A76222" w:rsidP="005C581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问题修复的难易程度等级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4D57AC" w:rsidRPr="004D57AC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定义及描述</w:t>
            </w:r>
          </w:p>
        </w:tc>
      </w:tr>
      <w:tr w:rsidR="004D57AC" w:rsidRPr="004D57AC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问题非常容易修复。在下一次版本发布之前可以由一个项目组成员完成</w:t>
            </w:r>
          </w:p>
        </w:tc>
      </w:tr>
      <w:tr w:rsidR="004D57AC" w:rsidRPr="004D57AC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问题容易修复。涉及到特定界面元素，有明确解决方案</w:t>
            </w:r>
          </w:p>
        </w:tc>
      </w:tr>
      <w:tr w:rsidR="004D57AC" w:rsidRPr="004D57AC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问题修复有些困难。涉及界面的很多方面，需要整个项目组成员 来完成或</w:t>
            </w:r>
            <w:r w:rsidRPr="004D57AC">
              <w:rPr>
                <w:rFonts w:ascii="微软雅黑" w:eastAsia="微软雅黑" w:hAnsi="微软雅黑"/>
              </w:rPr>
              <w:lastRenderedPageBreak/>
              <w:t>者解决方案尚不明确</w:t>
            </w:r>
          </w:p>
        </w:tc>
      </w:tr>
      <w:tr w:rsidR="004D57AC" w:rsidRPr="004D57AC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4D57AC" w:rsidRPr="004D57AC" w:rsidRDefault="004D57AC" w:rsidP="005C5819">
      <w:pPr>
        <w:jc w:val="left"/>
        <w:rPr>
          <w:rFonts w:ascii="微软雅黑" w:eastAsia="微软雅黑" w:hAnsi="微软雅黑"/>
        </w:rPr>
      </w:pPr>
    </w:p>
    <w:p w:rsidR="00822BEE" w:rsidRPr="004D57AC" w:rsidRDefault="00806F2E" w:rsidP="005C5819">
      <w:pPr>
        <w:jc w:val="left"/>
        <w:rPr>
          <w:rFonts w:ascii="微软雅黑" w:eastAsia="微软雅黑" w:hAnsi="微软雅黑"/>
        </w:rPr>
      </w:pPr>
      <w:r w:rsidRPr="004D57AC">
        <w:rPr>
          <w:rFonts w:ascii="微软雅黑" w:eastAsia="微软雅黑" w:hAnsi="微软雅黑"/>
        </w:rPr>
        <w:t>可用性问题及改进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709"/>
        <w:gridCol w:w="709"/>
        <w:gridCol w:w="708"/>
        <w:gridCol w:w="3878"/>
      </w:tblGrid>
      <w:tr w:rsidR="00806F2E" w:rsidRPr="004D57AC" w:rsidTr="00A76222">
        <w:tc>
          <w:tcPr>
            <w:tcW w:w="675" w:type="dxa"/>
          </w:tcPr>
          <w:p w:rsidR="00806F2E" w:rsidRPr="004D57AC" w:rsidRDefault="00806F2E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3" w:type="dxa"/>
          </w:tcPr>
          <w:p w:rsidR="00806F2E" w:rsidRPr="004D57AC" w:rsidRDefault="00806F2E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709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严重等级</w:t>
            </w:r>
          </w:p>
        </w:tc>
        <w:tc>
          <w:tcPr>
            <w:tcW w:w="709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修复等级</w:t>
            </w:r>
          </w:p>
        </w:tc>
        <w:tc>
          <w:tcPr>
            <w:tcW w:w="708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违反规则</w:t>
            </w:r>
          </w:p>
        </w:tc>
        <w:tc>
          <w:tcPr>
            <w:tcW w:w="3878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改进建议</w:t>
            </w:r>
          </w:p>
        </w:tc>
      </w:tr>
      <w:tr w:rsidR="00806F2E" w:rsidRPr="00806F2E" w:rsidTr="00A76222">
        <w:tc>
          <w:tcPr>
            <w:tcW w:w="675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:rsidR="00806F2E" w:rsidRPr="00806F2E" w:rsidRDefault="00FE0C11" w:rsidP="00FE0C1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主页上的</w:t>
            </w:r>
            <w:r>
              <w:rPr>
                <w:rFonts w:ascii="微软雅黑" w:eastAsia="微软雅黑" w:hAnsi="微软雅黑" w:hint="eastAsia"/>
              </w:rPr>
              <w:t>“每日必做”反馈不够</w:t>
            </w:r>
          </w:p>
        </w:tc>
        <w:tc>
          <w:tcPr>
            <w:tcW w:w="709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9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878" w:type="dxa"/>
          </w:tcPr>
          <w:p w:rsidR="00806F2E" w:rsidRPr="00806F2E" w:rsidRDefault="00FE0C11" w:rsidP="00FE0C1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“每日必做”做完一项之后希望可以见到系统的状态，给出反馈。</w:t>
            </w:r>
          </w:p>
        </w:tc>
      </w:tr>
      <w:tr w:rsidR="00806F2E" w:rsidRPr="00806F2E" w:rsidTr="00A76222">
        <w:tc>
          <w:tcPr>
            <w:tcW w:w="675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主页上的对齐方式不统一</w:t>
            </w:r>
          </w:p>
        </w:tc>
        <w:tc>
          <w:tcPr>
            <w:tcW w:w="709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878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除去标题外，文字的对齐方式一律改为左对齐</w:t>
            </w:r>
          </w:p>
        </w:tc>
      </w:tr>
      <w:tr w:rsidR="00806F2E" w:rsidRPr="00806F2E" w:rsidTr="00A76222">
        <w:tc>
          <w:tcPr>
            <w:tcW w:w="675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用户不能够自主选择查看的数据统计日期区间和统计项目</w:t>
            </w:r>
          </w:p>
        </w:tc>
        <w:tc>
          <w:tcPr>
            <w:tcW w:w="709" w:type="dxa"/>
          </w:tcPr>
          <w:p w:rsidR="00806F2E" w:rsidRPr="00FE0C11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9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3878" w:type="dxa"/>
          </w:tcPr>
          <w:p w:rsidR="00806F2E" w:rsidRPr="00806F2E" w:rsidRDefault="00FE0C11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添加数据接口或者修改前端设计使得能够</w:t>
            </w:r>
            <w:r w:rsidR="00F74F54">
              <w:rPr>
                <w:rFonts w:ascii="微软雅黑" w:eastAsia="微软雅黑" w:hAnsi="微软雅黑"/>
              </w:rPr>
              <w:t>自主选择时间区间和数据类型</w:t>
            </w:r>
          </w:p>
        </w:tc>
      </w:tr>
      <w:tr w:rsidR="00806F2E" w:rsidRPr="00806F2E" w:rsidTr="00A76222">
        <w:tc>
          <w:tcPr>
            <w:tcW w:w="675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身体状况栏目中</w:t>
            </w:r>
            <w:r>
              <w:rPr>
                <w:rFonts w:ascii="微软雅黑" w:eastAsia="微软雅黑" w:hAnsi="微软雅黑" w:hint="eastAsia"/>
              </w:rPr>
              <w:t>，保存录入的反馈不够</w:t>
            </w:r>
          </w:p>
        </w:tc>
        <w:tc>
          <w:tcPr>
            <w:tcW w:w="709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878" w:type="dxa"/>
          </w:tcPr>
          <w:p w:rsidR="00806F2E" w:rsidRPr="00806F2E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添加保存录入之后的系统反馈</w:t>
            </w:r>
          </w:p>
        </w:tc>
      </w:tr>
      <w:tr w:rsidR="00F74F54" w:rsidRPr="00806F2E" w:rsidTr="00A76222">
        <w:tc>
          <w:tcPr>
            <w:tcW w:w="675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发起活动时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活动标签一</w:t>
            </w:r>
            <w:proofErr w:type="gramStart"/>
            <w:r>
              <w:rPr>
                <w:rFonts w:ascii="微软雅黑" w:eastAsia="微软雅黑" w:hAnsi="微软雅黑"/>
              </w:rPr>
              <w:t>栏说明</w:t>
            </w:r>
            <w:proofErr w:type="gramEnd"/>
            <w:r>
              <w:rPr>
                <w:rFonts w:ascii="微软雅黑" w:eastAsia="微软雅黑" w:hAnsi="微软雅黑"/>
              </w:rPr>
              <w:t>不超过</w:t>
            </w:r>
            <w:r>
              <w:rPr>
                <w:rFonts w:ascii="微软雅黑" w:eastAsia="微软雅黑" w:hAnsi="微软雅黑" w:hint="eastAsia"/>
              </w:rPr>
              <w:t>3个，但是实际上可以填写超</w:t>
            </w:r>
            <w:r>
              <w:rPr>
                <w:rFonts w:ascii="微软雅黑" w:eastAsia="微软雅黑" w:hAnsi="微软雅黑" w:hint="eastAsia"/>
              </w:rPr>
              <w:lastRenderedPageBreak/>
              <w:t>过3个，从而可能引发错误</w:t>
            </w:r>
          </w:p>
        </w:tc>
        <w:tc>
          <w:tcPr>
            <w:tcW w:w="709" w:type="dxa"/>
          </w:tcPr>
          <w:p w:rsidR="00F74F54" w:rsidRP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2</w:t>
            </w:r>
          </w:p>
        </w:tc>
        <w:tc>
          <w:tcPr>
            <w:tcW w:w="709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3878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修改前端设计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使得超过</w:t>
            </w:r>
            <w:r>
              <w:rPr>
                <w:rFonts w:ascii="微软雅黑" w:eastAsia="微软雅黑" w:hAnsi="微软雅黑" w:hint="eastAsia"/>
              </w:rPr>
              <w:t>3个时不能填写</w:t>
            </w:r>
          </w:p>
        </w:tc>
      </w:tr>
      <w:tr w:rsidR="00F74F54" w:rsidRPr="00806F2E" w:rsidTr="00A76222">
        <w:tc>
          <w:tcPr>
            <w:tcW w:w="675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6</w:t>
            </w:r>
          </w:p>
        </w:tc>
        <w:tc>
          <w:tcPr>
            <w:tcW w:w="1843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发起活动时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活动标签一</w:t>
            </w:r>
            <w:proofErr w:type="gramStart"/>
            <w:r>
              <w:rPr>
                <w:rFonts w:ascii="微软雅黑" w:eastAsia="微软雅黑" w:hAnsi="微软雅黑"/>
              </w:rPr>
              <w:t>栏设计</w:t>
            </w:r>
            <w:proofErr w:type="gramEnd"/>
            <w:r>
              <w:rPr>
                <w:rFonts w:ascii="微软雅黑" w:eastAsia="微软雅黑" w:hAnsi="微软雅黑"/>
              </w:rPr>
              <w:t>为用户自己填写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可能引起用户记忆负担加重</w:t>
            </w:r>
          </w:p>
        </w:tc>
        <w:tc>
          <w:tcPr>
            <w:tcW w:w="709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3878" w:type="dxa"/>
          </w:tcPr>
          <w:p w:rsidR="00F74F54" w:rsidRDefault="00F74F54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把活动标签改成选项制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可以减少客户的记忆负担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依赖识别而非记忆</w:t>
            </w:r>
          </w:p>
        </w:tc>
      </w:tr>
      <w:tr w:rsidR="006051EF" w:rsidRPr="00806F2E" w:rsidTr="00A76222">
        <w:tc>
          <w:tcPr>
            <w:tcW w:w="675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帮助和文档不足</w:t>
            </w:r>
            <w:r>
              <w:rPr>
                <w:rFonts w:ascii="微软雅黑" w:eastAsia="微软雅黑" w:hAnsi="微软雅黑" w:hint="eastAsia"/>
              </w:rPr>
              <w:t>，</w:t>
            </w:r>
            <w:proofErr w:type="gramStart"/>
            <w:r>
              <w:rPr>
                <w:rFonts w:ascii="微软雅黑" w:eastAsia="微软雅黑" w:hAnsi="微软雅黑"/>
              </w:rPr>
              <w:t>很</w:t>
            </w:r>
            <w:proofErr w:type="gramEnd"/>
            <w:r>
              <w:rPr>
                <w:rFonts w:ascii="微软雅黑" w:eastAsia="微软雅黑" w:hAnsi="微软雅黑"/>
              </w:rPr>
              <w:t>多功能用户不知道如何使用</w:t>
            </w:r>
          </w:p>
        </w:tc>
        <w:tc>
          <w:tcPr>
            <w:tcW w:w="709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09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878" w:type="dxa"/>
          </w:tcPr>
          <w:p w:rsidR="006051EF" w:rsidRDefault="006051EF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添加帮助项或者在某些功能处添加文字说明</w:t>
            </w:r>
            <w:bookmarkStart w:id="0" w:name="_GoBack"/>
            <w:bookmarkEnd w:id="0"/>
          </w:p>
        </w:tc>
      </w:tr>
    </w:tbl>
    <w:p w:rsidR="00806F2E" w:rsidRPr="00A76222" w:rsidRDefault="00806F2E" w:rsidP="005C5819">
      <w:pPr>
        <w:jc w:val="left"/>
        <w:rPr>
          <w:rFonts w:ascii="微软雅黑" w:eastAsia="微软雅黑" w:hAnsi="微软雅黑"/>
          <w:sz w:val="44"/>
          <w:szCs w:val="44"/>
        </w:rPr>
      </w:pPr>
    </w:p>
    <w:sectPr w:rsidR="00806F2E" w:rsidRPr="00A76222" w:rsidSect="00EE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819"/>
    <w:rsid w:val="004D57AC"/>
    <w:rsid w:val="005C5819"/>
    <w:rsid w:val="006051EF"/>
    <w:rsid w:val="00806F2E"/>
    <w:rsid w:val="00A76222"/>
    <w:rsid w:val="00BD26F5"/>
    <w:rsid w:val="00CB050D"/>
    <w:rsid w:val="00EE312E"/>
    <w:rsid w:val="00F74F54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8A552-99DD-4DA5-8810-E3EC691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1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8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76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 Tondiyee</cp:lastModifiedBy>
  <cp:revision>3</cp:revision>
  <dcterms:created xsi:type="dcterms:W3CDTF">2016-12-31T02:06:00Z</dcterms:created>
  <dcterms:modified xsi:type="dcterms:W3CDTF">2017-01-01T08:48:00Z</dcterms:modified>
</cp:coreProperties>
</file>