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80C5E" w14:textId="300D17B1" w:rsidR="004F4859" w:rsidRDefault="004F4859" w:rsidP="004F4859">
      <w:pPr>
        <w:spacing w:after="0" w:line="480" w:lineRule="auto"/>
        <w:rPr>
          <w:b/>
          <w:bCs/>
        </w:rPr>
      </w:pPr>
      <w:r w:rsidRPr="004F4859">
        <w:rPr>
          <w:b/>
          <w:bCs/>
        </w:rPr>
        <w:t>Collaborative Discussion 2</w:t>
      </w:r>
      <w:r>
        <w:rPr>
          <w:b/>
          <w:bCs/>
        </w:rPr>
        <w:t xml:space="preserve"> – Comparing Compliance Laws</w:t>
      </w:r>
    </w:p>
    <w:p w14:paraId="2C59C770" w14:textId="52CEA1B5" w:rsidR="004F4859" w:rsidRPr="004D18EA" w:rsidRDefault="004F4859" w:rsidP="004F4859">
      <w:pPr>
        <w:spacing w:after="0" w:line="480" w:lineRule="auto"/>
        <w:rPr>
          <w:u w:val="single"/>
        </w:rPr>
      </w:pPr>
      <w:r w:rsidRPr="004D18EA">
        <w:rPr>
          <w:b/>
          <w:bCs/>
          <w:u w:val="single"/>
        </w:rPr>
        <w:t>Initial Post</w:t>
      </w:r>
      <w:r w:rsidR="00FF4272">
        <w:rPr>
          <w:b/>
          <w:bCs/>
          <w:u w:val="single"/>
        </w:rPr>
        <w:t xml:space="preserve"> – Unit 8</w:t>
      </w:r>
    </w:p>
    <w:p w14:paraId="1047D671" w14:textId="77777777" w:rsidR="004F4859" w:rsidRPr="004F4859" w:rsidRDefault="004F4859" w:rsidP="004F4859">
      <w:pPr>
        <w:spacing w:after="0" w:line="480" w:lineRule="auto"/>
      </w:pPr>
      <w:r w:rsidRPr="004F4859">
        <w:t>The General Data Protection Regulation (GDPR) requires organisations to ensure that personal information is appropriately protected. In the UK, this is overseen by the Information Commissioner’s Office (ICO). The security principle requires personal data to be protected against unauthorised or unlawful processing, as well as accidental loss, destruction or damage (ICO, 2026).</w:t>
      </w:r>
    </w:p>
    <w:p w14:paraId="2EFA6E51" w14:textId="77777777" w:rsidR="004F4859" w:rsidRPr="004F4859" w:rsidRDefault="004F4859" w:rsidP="004F4859">
      <w:pPr>
        <w:spacing w:after="0" w:line="480" w:lineRule="auto"/>
      </w:pPr>
      <w:r w:rsidRPr="004F4859">
        <w:t>However, GDPR does not prescribe one specific security approach for every organisation. Instead, Article 32 requires organisations to consider the level of risk associated with the personal data they process and introduce appropriate technical and organisational measures (ICO, 2026). These can include encryption, pseudonymisation, access controls, secure backups and regular testing of security measures. This risk-based approach becomes particularly important when working with large datasets. Georgiadis and Poels (2022) explain that big data analytics presents additional privacy and data protection challenges because of the large volumes and different types of data being collected and analysed. They emphasise the importance of identifying privacy risks and introducing appropriate safeguards when conducting big data analytics.</w:t>
      </w:r>
    </w:p>
    <w:p w14:paraId="5866D4EB" w14:textId="77777777" w:rsidR="004F4859" w:rsidRPr="004F4859" w:rsidRDefault="004F4859" w:rsidP="004F4859">
      <w:pPr>
        <w:spacing w:after="0" w:line="480" w:lineRule="auto"/>
      </w:pPr>
      <w:r w:rsidRPr="004F4859">
        <w:t xml:space="preserve">This is particularly relevant within healthcare, where organisations routinely process sensitive personal information. Georgiou and Lambrinoudakis (2020) highlight the importance of confidentiality, integrity and availability when protecting healthcare information and demonstrate how security policies can be developed in accordance with GDPR requirements. Measures such as restricting access to authorised individuals, protecting stored information and regularly reviewing security arrangements </w:t>
      </w:r>
      <w:r w:rsidRPr="004F4859">
        <w:lastRenderedPageBreak/>
        <w:t>are therefore important when processing health data (Georgiou and Lambrinoudakis, 2020).</w:t>
      </w:r>
    </w:p>
    <w:p w14:paraId="7C031DC0" w14:textId="77777777" w:rsidR="004F4859" w:rsidRPr="004F4859" w:rsidRDefault="004F4859" w:rsidP="004F4859">
      <w:pPr>
        <w:spacing w:after="0" w:line="480" w:lineRule="auto"/>
      </w:pPr>
      <w:r w:rsidRPr="004F4859">
        <w:t>There are also exemptions within UK data protection legislation. The Data Protection Act 2018 allows exemptions from certain data protection requirements in specific circumstances, including national security, defence, crime and taxation (Data Protection Act 2018). However, these exemptions apply under particular conditions rather than providing organisations with a general exemption from their responsibilities.</w:t>
      </w:r>
    </w:p>
    <w:p w14:paraId="1E993B8C" w14:textId="77777777" w:rsidR="004F4859" w:rsidRPr="004F4859" w:rsidRDefault="004F4859" w:rsidP="004F4859">
      <w:pPr>
        <w:spacing w:after="0" w:line="480" w:lineRule="auto"/>
      </w:pPr>
      <w:r w:rsidRPr="004F4859">
        <w:t>Overall, GDPR demonstrates that effective data management involves more than collecting, cleaning and analysing information. Organisations must also identify the security and privacy risks associated with the information they hold and apply appropriate safeguards throughout the data-wrangling process (Georgiadis and Poels, 2022).</w:t>
      </w:r>
    </w:p>
    <w:p w14:paraId="0CB5AF2A" w14:textId="77777777" w:rsidR="004F4859" w:rsidRDefault="004F4859" w:rsidP="004F4859">
      <w:pPr>
        <w:spacing w:after="0" w:line="480" w:lineRule="auto"/>
        <w:rPr>
          <w:b/>
          <w:bCs/>
        </w:rPr>
      </w:pPr>
    </w:p>
    <w:p w14:paraId="778E39CE" w14:textId="5066A430" w:rsidR="004F4859" w:rsidRPr="004D18EA" w:rsidRDefault="004F4859" w:rsidP="004F4859">
      <w:pPr>
        <w:spacing w:after="0" w:line="480" w:lineRule="auto"/>
        <w:rPr>
          <w:u w:val="single"/>
        </w:rPr>
      </w:pPr>
      <w:r w:rsidRPr="004D18EA">
        <w:rPr>
          <w:b/>
          <w:bCs/>
          <w:u w:val="single"/>
        </w:rPr>
        <w:t>References</w:t>
      </w:r>
    </w:p>
    <w:p w14:paraId="264C8CC6" w14:textId="77777777" w:rsidR="004F4859" w:rsidRPr="004F4859" w:rsidRDefault="004F4859" w:rsidP="004F4859">
      <w:pPr>
        <w:pStyle w:val="ListParagraph"/>
        <w:numPr>
          <w:ilvl w:val="0"/>
          <w:numId w:val="1"/>
        </w:numPr>
        <w:spacing w:after="0" w:line="480" w:lineRule="auto"/>
      </w:pPr>
      <w:r w:rsidRPr="004F4859">
        <w:t>Data Protection Act 2018, c.12. London: The Stationery Office.</w:t>
      </w:r>
    </w:p>
    <w:p w14:paraId="61C141FF" w14:textId="77777777" w:rsidR="004F4859" w:rsidRPr="004F4859" w:rsidRDefault="004F4859" w:rsidP="004F4859">
      <w:pPr>
        <w:pStyle w:val="ListParagraph"/>
        <w:numPr>
          <w:ilvl w:val="0"/>
          <w:numId w:val="1"/>
        </w:numPr>
        <w:spacing w:after="0" w:line="480" w:lineRule="auto"/>
      </w:pPr>
      <w:r w:rsidRPr="004F4859">
        <w:t xml:space="preserve">Georgiadis, G. and Poels, G. (2022) ‘Towards a privacy impact assessment methodology to support the requirements of the General Data Protection Regulation in a big data analytics context: A systematic literature review’, </w:t>
      </w:r>
      <w:r w:rsidRPr="004F4859">
        <w:rPr>
          <w:i/>
          <w:iCs/>
        </w:rPr>
        <w:t>Computer Law &amp; Security Review</w:t>
      </w:r>
      <w:r w:rsidRPr="004F4859">
        <w:t>, 44, 105640.</w:t>
      </w:r>
    </w:p>
    <w:p w14:paraId="4E0DCB12" w14:textId="77777777" w:rsidR="004F4859" w:rsidRPr="004F4859" w:rsidRDefault="004F4859" w:rsidP="004F4859">
      <w:pPr>
        <w:pStyle w:val="ListParagraph"/>
        <w:numPr>
          <w:ilvl w:val="0"/>
          <w:numId w:val="1"/>
        </w:numPr>
        <w:spacing w:after="0" w:line="480" w:lineRule="auto"/>
      </w:pPr>
      <w:r w:rsidRPr="004F4859">
        <w:t xml:space="preserve">Georgiou, D. and Lambrinoudakis, C. (2020) ‘Compatibility of a security policy for a cloud-based healthcare system with the EU General Data Protection Regulation (GDPR)’, </w:t>
      </w:r>
      <w:r w:rsidRPr="004F4859">
        <w:rPr>
          <w:i/>
          <w:iCs/>
        </w:rPr>
        <w:t>Information</w:t>
      </w:r>
      <w:r w:rsidRPr="004F4859">
        <w:t>, 11(12), p. 586.</w:t>
      </w:r>
    </w:p>
    <w:p w14:paraId="02345FEA" w14:textId="77777777" w:rsidR="004F4859" w:rsidRPr="004F4859" w:rsidRDefault="004F4859" w:rsidP="004F4859">
      <w:pPr>
        <w:pStyle w:val="ListParagraph"/>
        <w:numPr>
          <w:ilvl w:val="0"/>
          <w:numId w:val="1"/>
        </w:numPr>
        <w:spacing w:after="0" w:line="480" w:lineRule="auto"/>
      </w:pPr>
      <w:r w:rsidRPr="004F4859">
        <w:t xml:space="preserve">Information Commissioner’s Office (ICO) (2026) </w:t>
      </w:r>
      <w:r w:rsidRPr="004F4859">
        <w:rPr>
          <w:i/>
          <w:iCs/>
        </w:rPr>
        <w:t>A guide to data security</w:t>
      </w:r>
      <w:r w:rsidRPr="004F4859">
        <w:t>. Wilmslow: Information Commissioner’s Office.</w:t>
      </w:r>
    </w:p>
    <w:p w14:paraId="39C806FA" w14:textId="2FC1F259" w:rsidR="003D5E63" w:rsidRDefault="00124616" w:rsidP="0084459F">
      <w:pPr>
        <w:spacing w:after="0" w:line="480" w:lineRule="auto"/>
      </w:pPr>
      <w:r>
        <w:rPr>
          <w:b/>
          <w:bCs/>
          <w:u w:val="single"/>
        </w:rPr>
        <w:lastRenderedPageBreak/>
        <w:t>Peer Response 1</w:t>
      </w:r>
      <w:r w:rsidR="00FF4272">
        <w:rPr>
          <w:b/>
          <w:bCs/>
          <w:u w:val="single"/>
        </w:rPr>
        <w:t xml:space="preserve"> – Unit 9</w:t>
      </w:r>
      <w:r w:rsidR="00956CEF" w:rsidRPr="00956CEF">
        <w:br/>
      </w:r>
      <w:r w:rsidR="003D5E63">
        <w:t>Hi Marwa,</w:t>
      </w:r>
    </w:p>
    <w:p w14:paraId="58FAA071" w14:textId="0508B302" w:rsidR="003D5E63" w:rsidRDefault="00956CEF" w:rsidP="0084459F">
      <w:pPr>
        <w:spacing w:after="0" w:line="480" w:lineRule="auto"/>
      </w:pPr>
      <w:r w:rsidRPr="00956CEF">
        <w:t>I agree with your comparison of the GDPR and the UAE Personal Data Protection Law, especially your point that both take a risk-based approach to data security rather than applying the same requirements to every organisation. I also found the differences in exemptions interesting, especially the exclusion of certain government, health and banking data from the UAE law where these are covered by other legislation.</w:t>
      </w:r>
    </w:p>
    <w:p w14:paraId="392B9108" w14:textId="1C393032" w:rsidR="003D5E63" w:rsidRDefault="00956CEF" w:rsidP="0084459F">
      <w:pPr>
        <w:spacing w:after="0" w:line="480" w:lineRule="auto"/>
      </w:pPr>
      <w:r w:rsidRPr="00956CEF">
        <w:br/>
        <w:t>Building on your discussion, I think organisations also need to consider how these requirements are applied in practice. Encryption and pseudonymisation are important safeguards, but these measures should be supported by effective access controls so that employees can only access the information required for their role. Regular reviews of user access could help identify accounts or permissions that are no longer required. Georgiou and Lambrinoudakis (2020) highlight the importance of confidentiality, integrity and availability when developing security arrangements that meet GDPR requirements.</w:t>
      </w:r>
    </w:p>
    <w:p w14:paraId="3F50DCF3" w14:textId="77777777" w:rsidR="003D5E63" w:rsidRDefault="00956CEF" w:rsidP="0084459F">
      <w:pPr>
        <w:spacing w:after="0" w:line="480" w:lineRule="auto"/>
      </w:pPr>
      <w:r w:rsidRPr="00956CEF">
        <w:br/>
        <w:t>Staff training is another important preventative measure because technical safeguards alone may not prevent incidents caused by human error. Regular data protection and cybersecurity training, alongside monitoring, auditing and clear procedures for reporting incidents, could help organisations identify and respond to potential breaches more quickly.</w:t>
      </w:r>
    </w:p>
    <w:p w14:paraId="21D6B1F7" w14:textId="5767AC7B" w:rsidR="00956CEF" w:rsidRPr="0084459F" w:rsidRDefault="00956CEF" w:rsidP="0084459F">
      <w:pPr>
        <w:spacing w:after="0" w:line="480" w:lineRule="auto"/>
      </w:pPr>
      <w:r w:rsidRPr="00956CEF">
        <w:br/>
        <w:t xml:space="preserve">I agree with your point regarding big data. As the volume of information being processed </w:t>
      </w:r>
      <w:r w:rsidRPr="00956CEF">
        <w:lastRenderedPageBreak/>
        <w:t>increases, the potential impact of inappropriate access or a security breach may also increase. Georgiadis and Poels (2022) emphasise the importance of identifying privacy risks when undertaking big data analytics. Therefore, security and privacy should be considered throughout the data lifecycle rather than only once an incident has occurred.</w:t>
      </w:r>
      <w:r w:rsidRPr="00956CEF">
        <w:br/>
      </w:r>
      <w:r w:rsidRPr="00956CEF">
        <w:br/>
      </w:r>
      <w:r w:rsidRPr="00AC34CC">
        <w:rPr>
          <w:b/>
          <w:bCs/>
          <w:u w:val="single"/>
        </w:rPr>
        <w:t>References</w:t>
      </w:r>
      <w:r w:rsidRPr="00956CEF">
        <w:br/>
        <w:t>Georgiadis, G. and Poels, G. (2022) ‘Towards a privacy impact assessment methodology to support the requirements of the General Data Protection Regulation in a big data analytics context: A systematic literature review’, Computer Law &amp; Security Review, 44, 105640.</w:t>
      </w:r>
      <w:r w:rsidRPr="00956CEF">
        <w:br/>
        <w:t>Georgiou, D. and Lambrinoudakis, C. (2020) ‘Compatibility of a security policy for a cloud-based healthcare system with the EU General Data Protection Regulation (GDPR)’, Information, 11(12), p. 586.</w:t>
      </w:r>
    </w:p>
    <w:p w14:paraId="4D7B5049" w14:textId="77777777" w:rsidR="00956CEF" w:rsidRDefault="00956CEF" w:rsidP="004F4859">
      <w:pPr>
        <w:spacing w:after="0" w:line="480" w:lineRule="auto"/>
        <w:rPr>
          <w:b/>
          <w:bCs/>
          <w:u w:val="single"/>
        </w:rPr>
      </w:pPr>
    </w:p>
    <w:p w14:paraId="3A67A718" w14:textId="221B109B" w:rsidR="00124616" w:rsidRDefault="00124616" w:rsidP="004F4859">
      <w:pPr>
        <w:spacing w:after="0" w:line="480" w:lineRule="auto"/>
        <w:rPr>
          <w:b/>
          <w:bCs/>
          <w:u w:val="single"/>
        </w:rPr>
      </w:pPr>
      <w:r>
        <w:rPr>
          <w:b/>
          <w:bCs/>
          <w:u w:val="single"/>
        </w:rPr>
        <w:t>Peer Response 2</w:t>
      </w:r>
      <w:r w:rsidR="00FF4272">
        <w:rPr>
          <w:b/>
          <w:bCs/>
          <w:u w:val="single"/>
        </w:rPr>
        <w:t xml:space="preserve"> – Unit 9</w:t>
      </w:r>
    </w:p>
    <w:p w14:paraId="4B439D6B" w14:textId="2B0D424B" w:rsidR="00124616" w:rsidRDefault="003D5E63" w:rsidP="004F4859">
      <w:pPr>
        <w:spacing w:after="0" w:line="480" w:lineRule="auto"/>
        <w:rPr>
          <w:b/>
          <w:bCs/>
          <w:u w:val="single"/>
        </w:rPr>
      </w:pPr>
      <w:r w:rsidRPr="003D5E63">
        <w:t>Hi Rebekah,</w:t>
      </w:r>
      <w:r w:rsidRPr="003D5E63">
        <w:br/>
        <w:t>Your point about pseudonymisation raises an important issue around the risk of individuals being re-identified. Although pseudonymisation can reduce the risks associated with processing personal data, it does not necessarily make the data completely anonymous. As demonstrated by the TfL example, information that does not directly identify an individual may become identifiable when combined with other information. This risk becomes increasingly relevant in big data analytics, where information from multiple sources can be brought together and analysed.</w:t>
      </w:r>
      <w:r w:rsidRPr="003D5E63">
        <w:br/>
      </w:r>
      <w:r w:rsidRPr="003D5E63">
        <w:lastRenderedPageBreak/>
        <w:br/>
        <w:t>Data minimisation could help reduce this risk by ensuring that organisations only collect and retain information that is necessary for the intended purpose. Georgiadis and Poels (2022) emphasise the importance of identifying privacy risks when conducting big data analytics. Alongside pseudonymisation, organisations could use encryption, role-based access controls and separation of identifiable information from analytical datasets. Regular reviews of access permissions and security controls could also help identify potential vulnerabilities before they result in a data breach.</w:t>
      </w:r>
      <w:r w:rsidRPr="003D5E63">
        <w:br/>
      </w:r>
      <w:r w:rsidRPr="003D5E63">
        <w:br/>
        <w:t>The point regarding uncertainty around what constitutes ‘appropriate’ security under the GDPR is also important. However, the flexibility of a risk-based approach can be beneficial because the level of risk will vary depending on the organisation, the type of data being processed and how the data is being used. Regular risk assessments and Data Protection Impact Assessments could therefore help organisations determine which security measures are proportionate to the risks involved.</w:t>
      </w:r>
      <w:r w:rsidRPr="003D5E63">
        <w:rPr>
          <w:b/>
          <w:bCs/>
          <w:u w:val="single"/>
        </w:rPr>
        <w:br/>
      </w:r>
      <w:r w:rsidRPr="003D5E63">
        <w:rPr>
          <w:b/>
          <w:bCs/>
          <w:u w:val="single"/>
        </w:rPr>
        <w:br/>
        <w:t>Reference</w:t>
      </w:r>
      <w:r w:rsidRPr="003D5E63">
        <w:rPr>
          <w:b/>
          <w:bCs/>
          <w:u w:val="single"/>
        </w:rPr>
        <w:br/>
      </w:r>
      <w:r w:rsidRPr="003D5E63">
        <w:t>Georgiadis, G. and Poels, G. (2022) ‘Towards a privacy impact assessment methodology to support the requirements of the General Data Protection Regulation in a big data analytics context: A systematic literature review’, *Computer Law &amp; Security Review*, 44, 105640.</w:t>
      </w:r>
    </w:p>
    <w:p w14:paraId="5C10C47B" w14:textId="77777777" w:rsidR="00124616" w:rsidRDefault="00124616" w:rsidP="004F4859">
      <w:pPr>
        <w:spacing w:after="0" w:line="480" w:lineRule="auto"/>
        <w:rPr>
          <w:b/>
          <w:bCs/>
          <w:u w:val="single"/>
        </w:rPr>
      </w:pPr>
    </w:p>
    <w:p w14:paraId="5BAAE72C" w14:textId="77777777" w:rsidR="003D5E63" w:rsidRDefault="003D5E63" w:rsidP="004F4859">
      <w:pPr>
        <w:spacing w:after="0" w:line="480" w:lineRule="auto"/>
        <w:rPr>
          <w:b/>
          <w:bCs/>
          <w:u w:val="single"/>
        </w:rPr>
      </w:pPr>
    </w:p>
    <w:p w14:paraId="2B8D82EA" w14:textId="77777777" w:rsidR="003D5E63" w:rsidRDefault="003D5E63" w:rsidP="004F4859">
      <w:pPr>
        <w:spacing w:after="0" w:line="480" w:lineRule="auto"/>
        <w:rPr>
          <w:b/>
          <w:bCs/>
          <w:u w:val="single"/>
        </w:rPr>
      </w:pPr>
    </w:p>
    <w:p w14:paraId="6755EA45" w14:textId="138E2E24" w:rsidR="0012596B" w:rsidRDefault="00E9710A" w:rsidP="004F4859">
      <w:pPr>
        <w:spacing w:after="0" w:line="480" w:lineRule="auto"/>
        <w:rPr>
          <w:b/>
          <w:bCs/>
          <w:u w:val="single"/>
        </w:rPr>
      </w:pPr>
      <w:r w:rsidRPr="00E9710A">
        <w:rPr>
          <w:b/>
          <w:bCs/>
          <w:u w:val="single"/>
        </w:rPr>
        <w:lastRenderedPageBreak/>
        <w:t>Summary Post</w:t>
      </w:r>
      <w:r w:rsidR="00FF4272">
        <w:rPr>
          <w:b/>
          <w:bCs/>
          <w:u w:val="single"/>
        </w:rPr>
        <w:t xml:space="preserve"> – Unit 10</w:t>
      </w:r>
    </w:p>
    <w:p w14:paraId="34C8F898" w14:textId="77777777" w:rsidR="00C01327" w:rsidRDefault="00C01327" w:rsidP="00C01327">
      <w:pPr>
        <w:spacing w:after="0" w:line="480" w:lineRule="auto"/>
        <w:jc w:val="both"/>
      </w:pPr>
      <w:r w:rsidRPr="00C01327">
        <w:t>The discussions throughout these units have broadened my understanding of how organisations can meet the security requirements of the GDPR. The legislation requires personal data to be protected from unauthorised access, accidental loss, destruction or damage, with organisations expected to select security measures that are appropriate to the level of risk involved (ICO, 2026). This is especially important when handling large datasets containing sensitive information, such as healthcare data.</w:t>
      </w:r>
    </w:p>
    <w:p w14:paraId="5B3484D3" w14:textId="77777777" w:rsidR="003D5E63" w:rsidRPr="00C01327" w:rsidRDefault="003D5E63" w:rsidP="00C01327">
      <w:pPr>
        <w:spacing w:after="0" w:line="480" w:lineRule="auto"/>
        <w:jc w:val="both"/>
      </w:pPr>
    </w:p>
    <w:p w14:paraId="1CF5A355" w14:textId="77777777" w:rsidR="00C01327" w:rsidRDefault="00C01327" w:rsidP="00C01327">
      <w:pPr>
        <w:spacing w:after="0" w:line="480" w:lineRule="auto"/>
        <w:jc w:val="both"/>
      </w:pPr>
      <w:r w:rsidRPr="00C01327">
        <w:t>My initial discussion considered safeguards such as encryption, pseudonymisation and access controls. Feedback from my peers highlighted that these measures can be strengthened further through role-based access control (RBAC), multi-factor authentication and regular staff training. RBAC, for example, allows access to information to be limited according to an employee’s responsibilities, helping to prevent unnecessary access to confidential data (Ferraiolo, Cugini and Kuhn, 1995). This shows that protecting data depends not only on technology but also on how organisations manage staff access and awareness.</w:t>
      </w:r>
    </w:p>
    <w:p w14:paraId="744DBDCF" w14:textId="77777777" w:rsidR="003D5E63" w:rsidRPr="00C01327" w:rsidRDefault="003D5E63" w:rsidP="00C01327">
      <w:pPr>
        <w:spacing w:after="0" w:line="480" w:lineRule="auto"/>
        <w:jc w:val="both"/>
      </w:pPr>
    </w:p>
    <w:p w14:paraId="1687ABA1" w14:textId="77777777" w:rsidR="00C01327" w:rsidRPr="00C01327" w:rsidRDefault="00C01327" w:rsidP="00C01327">
      <w:pPr>
        <w:spacing w:after="0" w:line="480" w:lineRule="auto"/>
        <w:jc w:val="both"/>
      </w:pPr>
      <w:r w:rsidRPr="00C01327">
        <w:t xml:space="preserve">The discussions also raised wider challenges surrounding GDPR compliance. Smaller organisations may find it more difficult to interpret and meet GDPR requirements due to limited financial, technical and specialist resources (Sirur, Nurse and Webb, 2018). There are also challenges within healthcare research, where differences in the interpretation and application of GDPR can influence how health data are accessed and used for research (Wouters </w:t>
      </w:r>
      <w:r w:rsidRPr="00C01327">
        <w:rPr>
          <w:i/>
          <w:iCs/>
        </w:rPr>
        <w:t>et al.</w:t>
      </w:r>
      <w:r w:rsidRPr="00C01327">
        <w:t>, 2021).</w:t>
      </w:r>
    </w:p>
    <w:p w14:paraId="6DCFF85B" w14:textId="77777777" w:rsidR="00C01327" w:rsidRPr="00C01327" w:rsidRDefault="00C01327" w:rsidP="00C01327">
      <w:pPr>
        <w:spacing w:after="0" w:line="480" w:lineRule="auto"/>
        <w:jc w:val="both"/>
      </w:pPr>
      <w:r w:rsidRPr="00C01327">
        <w:lastRenderedPageBreak/>
        <w:t>Overall, these discussions have shown that data security requires a balance between protecting individuals’ information and allowing data to be used appropriately. Within data wrangling, security and privacy should therefore be considered throughout the entire process, supported by appropriate safeguards, regular risk assessments, staff training and continued review of security practices.</w:t>
      </w:r>
    </w:p>
    <w:p w14:paraId="3BEC4154" w14:textId="77777777" w:rsidR="00C01327" w:rsidRDefault="00C01327" w:rsidP="00C01327">
      <w:pPr>
        <w:spacing w:after="0" w:line="480" w:lineRule="auto"/>
        <w:jc w:val="both"/>
      </w:pPr>
    </w:p>
    <w:p w14:paraId="5E77B617" w14:textId="566A026F" w:rsidR="00C01327" w:rsidRPr="00C01327" w:rsidRDefault="00C01327" w:rsidP="00C01327">
      <w:pPr>
        <w:spacing w:after="0" w:line="480" w:lineRule="auto"/>
        <w:jc w:val="both"/>
        <w:rPr>
          <w:b/>
          <w:bCs/>
          <w:u w:val="single"/>
        </w:rPr>
      </w:pPr>
      <w:r w:rsidRPr="00C01327">
        <w:rPr>
          <w:b/>
          <w:bCs/>
          <w:u w:val="single"/>
        </w:rPr>
        <w:t>References</w:t>
      </w:r>
    </w:p>
    <w:p w14:paraId="31917416" w14:textId="77777777" w:rsidR="00C01327" w:rsidRPr="00C01327" w:rsidRDefault="00C01327" w:rsidP="00C01327">
      <w:pPr>
        <w:pStyle w:val="ListParagraph"/>
        <w:numPr>
          <w:ilvl w:val="0"/>
          <w:numId w:val="2"/>
        </w:numPr>
        <w:spacing w:after="0" w:line="480" w:lineRule="auto"/>
        <w:jc w:val="both"/>
      </w:pPr>
      <w:r w:rsidRPr="00C01327">
        <w:t xml:space="preserve">Ferraiolo, D.F., Cugini, J.A. and Kuhn, D.R. (1995) ‘Role-Based Access Control (RBAC): Features and Motivations’, </w:t>
      </w:r>
      <w:r w:rsidRPr="00C01327">
        <w:rPr>
          <w:i/>
          <w:iCs/>
        </w:rPr>
        <w:t>Proceedings of the 11th Annual Computer Security Applications Conference</w:t>
      </w:r>
      <w:r w:rsidRPr="00C01327">
        <w:t>, pp. 241–248.</w:t>
      </w:r>
    </w:p>
    <w:p w14:paraId="341F40C4" w14:textId="77777777" w:rsidR="00C01327" w:rsidRPr="00C01327" w:rsidRDefault="00C01327" w:rsidP="00C01327">
      <w:pPr>
        <w:pStyle w:val="ListParagraph"/>
        <w:numPr>
          <w:ilvl w:val="0"/>
          <w:numId w:val="2"/>
        </w:numPr>
        <w:spacing w:after="0" w:line="480" w:lineRule="auto"/>
        <w:jc w:val="both"/>
      </w:pPr>
      <w:r w:rsidRPr="00C01327">
        <w:t xml:space="preserve">Information Commissioner’s Office (ICO) (2026) </w:t>
      </w:r>
      <w:r w:rsidRPr="00C01327">
        <w:rPr>
          <w:i/>
          <w:iCs/>
        </w:rPr>
        <w:t>A guide to data security</w:t>
      </w:r>
      <w:r w:rsidRPr="00C01327">
        <w:t>. Wilmslow: Information Commissioner’s Office.</w:t>
      </w:r>
    </w:p>
    <w:p w14:paraId="2E0471B3" w14:textId="77777777" w:rsidR="00C01327" w:rsidRPr="00C01327" w:rsidRDefault="00C01327" w:rsidP="00C01327">
      <w:pPr>
        <w:pStyle w:val="ListParagraph"/>
        <w:numPr>
          <w:ilvl w:val="0"/>
          <w:numId w:val="2"/>
        </w:numPr>
        <w:spacing w:after="0" w:line="480" w:lineRule="auto"/>
        <w:jc w:val="both"/>
      </w:pPr>
      <w:r w:rsidRPr="00C01327">
        <w:t xml:space="preserve">Sirur, S., Nurse, J.R.C. and Webb, H. (2018) ‘Are we there yet? Understanding the challenges faced in complying with the General Data Protection Regulation (GDPR)’, </w:t>
      </w:r>
      <w:r w:rsidRPr="00C01327">
        <w:rPr>
          <w:i/>
          <w:iCs/>
        </w:rPr>
        <w:t>Proceedings of the 2nd International Workshop on Multimedia Privacy and Security</w:t>
      </w:r>
      <w:r w:rsidRPr="00C01327">
        <w:t>, pp. 88–95.</w:t>
      </w:r>
    </w:p>
    <w:p w14:paraId="7B8AB957" w14:textId="77777777" w:rsidR="00C01327" w:rsidRPr="00C01327" w:rsidRDefault="00C01327" w:rsidP="00C01327">
      <w:pPr>
        <w:pStyle w:val="ListParagraph"/>
        <w:numPr>
          <w:ilvl w:val="0"/>
          <w:numId w:val="2"/>
        </w:numPr>
        <w:spacing w:after="0" w:line="480" w:lineRule="auto"/>
        <w:jc w:val="both"/>
      </w:pPr>
      <w:r w:rsidRPr="00C01327">
        <w:t xml:space="preserve">Wouters, B. </w:t>
      </w:r>
      <w:r w:rsidRPr="00C01327">
        <w:rPr>
          <w:i/>
          <w:iCs/>
        </w:rPr>
        <w:t>et al.</w:t>
      </w:r>
      <w:r w:rsidRPr="00C01327">
        <w:t xml:space="preserve"> (2021) ‘Putting the GDPR into practice: Difficulties and uncertainties experienced in the conduct of big data health research’, </w:t>
      </w:r>
      <w:r w:rsidRPr="00C01327">
        <w:rPr>
          <w:i/>
          <w:iCs/>
        </w:rPr>
        <w:t>European Data Protection Law Review</w:t>
      </w:r>
      <w:r w:rsidRPr="00C01327">
        <w:t>, 7(2), pp. 206–216.</w:t>
      </w:r>
    </w:p>
    <w:p w14:paraId="7EA48F9B" w14:textId="77777777" w:rsidR="00E9710A" w:rsidRPr="00E9710A" w:rsidRDefault="00E9710A" w:rsidP="004F4859">
      <w:pPr>
        <w:spacing w:after="0" w:line="480" w:lineRule="auto"/>
        <w:rPr>
          <w:b/>
          <w:bCs/>
          <w:u w:val="single"/>
        </w:rPr>
      </w:pPr>
    </w:p>
    <w:sectPr w:rsidR="00E9710A" w:rsidRPr="00E97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F578E"/>
    <w:multiLevelType w:val="hybridMultilevel"/>
    <w:tmpl w:val="5638F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6E3764"/>
    <w:multiLevelType w:val="hybridMultilevel"/>
    <w:tmpl w:val="6AD029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5325DB0"/>
    <w:multiLevelType w:val="hybridMultilevel"/>
    <w:tmpl w:val="C10C99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B7169E8"/>
    <w:multiLevelType w:val="hybridMultilevel"/>
    <w:tmpl w:val="8EB8D2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174528">
    <w:abstractNumId w:val="3"/>
  </w:num>
  <w:num w:numId="2" w16cid:durableId="337853402">
    <w:abstractNumId w:val="1"/>
  </w:num>
  <w:num w:numId="3" w16cid:durableId="688063262">
    <w:abstractNumId w:val="0"/>
  </w:num>
  <w:num w:numId="4" w16cid:durableId="708846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59"/>
    <w:rsid w:val="00124616"/>
    <w:rsid w:val="0012596B"/>
    <w:rsid w:val="002C6D0C"/>
    <w:rsid w:val="003D5E63"/>
    <w:rsid w:val="004D18EA"/>
    <w:rsid w:val="004F4859"/>
    <w:rsid w:val="006762F9"/>
    <w:rsid w:val="0084459F"/>
    <w:rsid w:val="00956CEF"/>
    <w:rsid w:val="00AC34CC"/>
    <w:rsid w:val="00C01327"/>
    <w:rsid w:val="00E9710A"/>
    <w:rsid w:val="00FF42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DCEC8"/>
  <w15:chartTrackingRefBased/>
  <w15:docId w15:val="{FAD5081D-45AB-452C-A63D-80C503F32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859"/>
    <w:rPr>
      <w:rFonts w:eastAsiaTheme="majorEastAsia" w:cstheme="majorBidi"/>
      <w:color w:val="272727" w:themeColor="text1" w:themeTint="D8"/>
    </w:rPr>
  </w:style>
  <w:style w:type="paragraph" w:styleId="Title">
    <w:name w:val="Title"/>
    <w:basedOn w:val="Normal"/>
    <w:next w:val="Normal"/>
    <w:link w:val="TitleChar"/>
    <w:uiPriority w:val="10"/>
    <w:qFormat/>
    <w:rsid w:val="004F4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859"/>
    <w:pPr>
      <w:spacing w:before="160"/>
      <w:jc w:val="center"/>
    </w:pPr>
    <w:rPr>
      <w:i/>
      <w:iCs/>
      <w:color w:val="404040" w:themeColor="text1" w:themeTint="BF"/>
    </w:rPr>
  </w:style>
  <w:style w:type="character" w:customStyle="1" w:styleId="QuoteChar">
    <w:name w:val="Quote Char"/>
    <w:basedOn w:val="DefaultParagraphFont"/>
    <w:link w:val="Quote"/>
    <w:uiPriority w:val="29"/>
    <w:rsid w:val="004F4859"/>
    <w:rPr>
      <w:i/>
      <w:iCs/>
      <w:color w:val="404040" w:themeColor="text1" w:themeTint="BF"/>
    </w:rPr>
  </w:style>
  <w:style w:type="paragraph" w:styleId="ListParagraph">
    <w:name w:val="List Paragraph"/>
    <w:basedOn w:val="Normal"/>
    <w:uiPriority w:val="34"/>
    <w:qFormat/>
    <w:rsid w:val="004F4859"/>
    <w:pPr>
      <w:ind w:left="720"/>
      <w:contextualSpacing/>
    </w:pPr>
  </w:style>
  <w:style w:type="character" w:styleId="IntenseEmphasis">
    <w:name w:val="Intense Emphasis"/>
    <w:basedOn w:val="DefaultParagraphFont"/>
    <w:uiPriority w:val="21"/>
    <w:qFormat/>
    <w:rsid w:val="004F4859"/>
    <w:rPr>
      <w:i/>
      <w:iCs/>
      <w:color w:val="0F4761" w:themeColor="accent1" w:themeShade="BF"/>
    </w:rPr>
  </w:style>
  <w:style w:type="paragraph" w:styleId="IntenseQuote">
    <w:name w:val="Intense Quote"/>
    <w:basedOn w:val="Normal"/>
    <w:next w:val="Normal"/>
    <w:link w:val="IntenseQuoteChar"/>
    <w:uiPriority w:val="30"/>
    <w:qFormat/>
    <w:rsid w:val="004F4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859"/>
    <w:rPr>
      <w:i/>
      <w:iCs/>
      <w:color w:val="0F4761" w:themeColor="accent1" w:themeShade="BF"/>
    </w:rPr>
  </w:style>
  <w:style w:type="character" w:styleId="IntenseReference">
    <w:name w:val="Intense Reference"/>
    <w:basedOn w:val="DefaultParagraphFont"/>
    <w:uiPriority w:val="32"/>
    <w:qFormat/>
    <w:rsid w:val="004F4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1425</Words>
  <Characters>8916</Characters>
  <Application>Microsoft Office Word</Application>
  <DocSecurity>0</DocSecurity>
  <Lines>162</Lines>
  <Paragraphs>29</Paragraphs>
  <ScaleCrop>false</ScaleCrop>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10</cp:revision>
  <dcterms:created xsi:type="dcterms:W3CDTF">2026-09-10T10:24:00Z</dcterms:created>
  <dcterms:modified xsi:type="dcterms:W3CDTF">2026-09-24T10:17:00Z</dcterms:modified>
</cp:coreProperties>
</file>