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7B74" w14:textId="77777777" w:rsidR="00704436" w:rsidRPr="00704436" w:rsidRDefault="00704436" w:rsidP="00704436">
      <w:pPr>
        <w:spacing w:after="0" w:line="480" w:lineRule="auto"/>
        <w:rPr>
          <w:b/>
          <w:bCs/>
          <w:sz w:val="22"/>
          <w:szCs w:val="22"/>
        </w:rPr>
      </w:pPr>
      <w:r w:rsidRPr="00704436">
        <w:rPr>
          <w:b/>
          <w:bCs/>
          <w:sz w:val="22"/>
          <w:szCs w:val="22"/>
        </w:rPr>
        <w:t>Summary Post</w:t>
      </w:r>
    </w:p>
    <w:p w14:paraId="747A7ADA" w14:textId="77777777" w:rsidR="00904FC6" w:rsidRPr="00904FC6" w:rsidRDefault="00904FC6" w:rsidP="00904FC6">
      <w:pPr>
        <w:spacing w:after="0" w:line="480" w:lineRule="auto"/>
        <w:rPr>
          <w:sz w:val="22"/>
          <w:szCs w:val="22"/>
        </w:rPr>
      </w:pPr>
      <w:r w:rsidRPr="00904FC6">
        <w:rPr>
          <w:sz w:val="22"/>
          <w:szCs w:val="22"/>
        </w:rPr>
        <w:t>My initial discussion focused on the opportunities and challenges associated with the Internet of Things (IoT), particularly the importance of data quality when organisations collect large volumes of information. I initially considered IoT mainly in terms of its ability to generate real-time data that can improve decision-making, efficiency and automation. However, Huxley (2020) demonstrates that collecting more data does not necessarily produce better information, as the reliability of analysis depends on how effectively data is cleaned and managed.</w:t>
      </w:r>
    </w:p>
    <w:p w14:paraId="1179D70C" w14:textId="77777777" w:rsidR="00930AA1" w:rsidRDefault="00930AA1" w:rsidP="00904FC6">
      <w:pPr>
        <w:spacing w:after="0" w:line="480" w:lineRule="auto"/>
        <w:rPr>
          <w:sz w:val="22"/>
          <w:szCs w:val="22"/>
        </w:rPr>
      </w:pPr>
    </w:p>
    <w:p w14:paraId="19C7E2BA" w14:textId="5E878EB0" w:rsidR="00904FC6" w:rsidRDefault="00904FC6" w:rsidP="00904FC6">
      <w:pPr>
        <w:spacing w:after="0" w:line="480" w:lineRule="auto"/>
        <w:rPr>
          <w:sz w:val="22"/>
          <w:szCs w:val="22"/>
        </w:rPr>
      </w:pPr>
      <w:r w:rsidRPr="00904FC6">
        <w:rPr>
          <w:sz w:val="22"/>
          <w:szCs w:val="22"/>
        </w:rPr>
        <w:t xml:space="preserve">The peer discussions broadened my understanding of these challenges. I initially focused on cleaning data after collection, but the discussions encouraged me to consider preventative approaches, including automated validation, continuous monitoring and anomaly detection (Mansouri </w:t>
      </w:r>
      <w:r w:rsidRPr="00904FC6">
        <w:rPr>
          <w:i/>
          <w:iCs/>
          <w:sz w:val="22"/>
          <w:szCs w:val="22"/>
        </w:rPr>
        <w:t>et al</w:t>
      </w:r>
      <w:r w:rsidRPr="00904FC6">
        <w:rPr>
          <w:sz w:val="22"/>
          <w:szCs w:val="22"/>
        </w:rPr>
        <w:t xml:space="preserve">., 2023). I also recognised that traditional data-wrangling approaches may not always be sufficient for complex IoT datasets, particularly where errors accumulate over time or have several possible methods of correction (Ding </w:t>
      </w:r>
      <w:r w:rsidRPr="00904FC6">
        <w:rPr>
          <w:i/>
          <w:iCs/>
          <w:sz w:val="22"/>
          <w:szCs w:val="22"/>
        </w:rPr>
        <w:t>et al</w:t>
      </w:r>
      <w:r w:rsidRPr="00904FC6">
        <w:rPr>
          <w:sz w:val="22"/>
          <w:szCs w:val="22"/>
        </w:rPr>
        <w:t>., 2022).</w:t>
      </w:r>
    </w:p>
    <w:p w14:paraId="1C0748FB" w14:textId="77777777" w:rsidR="00930AA1" w:rsidRPr="00904FC6" w:rsidRDefault="00930AA1" w:rsidP="00904FC6">
      <w:pPr>
        <w:spacing w:after="0" w:line="480" w:lineRule="auto"/>
        <w:rPr>
          <w:sz w:val="22"/>
          <w:szCs w:val="22"/>
        </w:rPr>
      </w:pPr>
    </w:p>
    <w:p w14:paraId="2451B1D8" w14:textId="77777777" w:rsidR="00904FC6" w:rsidRDefault="00904FC6" w:rsidP="00904FC6">
      <w:pPr>
        <w:spacing w:after="0" w:line="480" w:lineRule="auto"/>
        <w:rPr>
          <w:sz w:val="22"/>
          <w:szCs w:val="22"/>
        </w:rPr>
      </w:pPr>
      <w:r w:rsidRPr="00904FC6">
        <w:rPr>
          <w:sz w:val="22"/>
          <w:szCs w:val="22"/>
        </w:rPr>
        <w:t xml:space="preserve">The feedback also developed my understanding of IoT security and governance. I originally used the Mirai botnet to demonstrate the vulnerability of connected devices; however, further consideration showed how Mirai exposed wider challenges associated with securing consumer-managed IoT technologies (Antonakakis </w:t>
      </w:r>
      <w:r w:rsidRPr="00904FC6">
        <w:rPr>
          <w:i/>
          <w:iCs/>
          <w:sz w:val="22"/>
          <w:szCs w:val="22"/>
        </w:rPr>
        <w:t>et al</w:t>
      </w:r>
      <w:r w:rsidRPr="00904FC6">
        <w:rPr>
          <w:sz w:val="22"/>
          <w:szCs w:val="22"/>
        </w:rPr>
        <w:t xml:space="preserve">., 2017). This reinforced the importance of encryption, authentication and monitoring, but also demonstrated that governance extends beyond individual organisations. Government and industry collaboration is important in developing adaptable and resilient IoT environments as technology and security threats continue to evolve (Trautman </w:t>
      </w:r>
      <w:r w:rsidRPr="00904FC6">
        <w:rPr>
          <w:i/>
          <w:iCs/>
          <w:sz w:val="22"/>
          <w:szCs w:val="22"/>
        </w:rPr>
        <w:t>et al</w:t>
      </w:r>
      <w:r w:rsidRPr="00904FC6">
        <w:rPr>
          <w:sz w:val="22"/>
          <w:szCs w:val="22"/>
        </w:rPr>
        <w:t>., 2020).</w:t>
      </w:r>
    </w:p>
    <w:p w14:paraId="66562F72" w14:textId="77777777" w:rsidR="00930AA1" w:rsidRPr="00904FC6" w:rsidRDefault="00930AA1" w:rsidP="00904FC6">
      <w:pPr>
        <w:spacing w:after="0" w:line="480" w:lineRule="auto"/>
        <w:rPr>
          <w:sz w:val="22"/>
          <w:szCs w:val="22"/>
        </w:rPr>
      </w:pPr>
    </w:p>
    <w:p w14:paraId="6D206EC0" w14:textId="77777777" w:rsidR="00904FC6" w:rsidRPr="00904FC6" w:rsidRDefault="00904FC6" w:rsidP="00904FC6">
      <w:pPr>
        <w:spacing w:after="0" w:line="480" w:lineRule="auto"/>
        <w:rPr>
          <w:sz w:val="22"/>
          <w:szCs w:val="22"/>
        </w:rPr>
      </w:pPr>
      <w:r w:rsidRPr="00904FC6">
        <w:rPr>
          <w:sz w:val="22"/>
          <w:szCs w:val="22"/>
        </w:rPr>
        <w:t xml:space="preserve">The first three units placed these issues within the wider context of big data. Unit 1 introduced volume, velocity, variety and veracity (Sardar and Pandey, 2024). Unit 2 developed my </w:t>
      </w:r>
      <w:r w:rsidRPr="00904FC6">
        <w:rPr>
          <w:sz w:val="22"/>
          <w:szCs w:val="22"/>
        </w:rPr>
        <w:lastRenderedPageBreak/>
        <w:t>understanding of different data formats and APIs, while Unit 3 highlighted data collection, storage and integrity.</w:t>
      </w:r>
    </w:p>
    <w:p w14:paraId="1045C04D" w14:textId="77777777" w:rsidR="00904FC6" w:rsidRPr="00904FC6" w:rsidRDefault="00904FC6" w:rsidP="00904FC6">
      <w:pPr>
        <w:spacing w:after="0" w:line="480" w:lineRule="auto"/>
        <w:rPr>
          <w:sz w:val="22"/>
          <w:szCs w:val="22"/>
        </w:rPr>
      </w:pPr>
      <w:r w:rsidRPr="00904FC6">
        <w:rPr>
          <w:sz w:val="22"/>
          <w:szCs w:val="22"/>
        </w:rPr>
        <w:t>Overall, my understanding has developed from viewing IoT mainly as large-scale data collection to recognising that effective validation, cleaning, security and governance throughout the data lifecycle determine whether IoT data can be used reliably and responsibly.</w:t>
      </w:r>
    </w:p>
    <w:p w14:paraId="2E05BA84" w14:textId="77777777" w:rsidR="00930AA1" w:rsidRDefault="00930AA1" w:rsidP="00904FC6">
      <w:pPr>
        <w:spacing w:after="0" w:line="480" w:lineRule="auto"/>
        <w:rPr>
          <w:b/>
          <w:bCs/>
          <w:sz w:val="22"/>
          <w:szCs w:val="22"/>
        </w:rPr>
      </w:pPr>
    </w:p>
    <w:p w14:paraId="5EEF09E3" w14:textId="0A3BAA6C" w:rsidR="00904FC6" w:rsidRPr="00904FC6" w:rsidRDefault="00904FC6" w:rsidP="00904FC6">
      <w:pPr>
        <w:spacing w:after="0" w:line="480" w:lineRule="auto"/>
        <w:rPr>
          <w:b/>
          <w:bCs/>
          <w:sz w:val="22"/>
          <w:szCs w:val="22"/>
        </w:rPr>
      </w:pPr>
      <w:r w:rsidRPr="00904FC6">
        <w:rPr>
          <w:b/>
          <w:bCs/>
          <w:sz w:val="22"/>
          <w:szCs w:val="22"/>
        </w:rPr>
        <w:t>References</w:t>
      </w:r>
    </w:p>
    <w:p w14:paraId="135B20FC" w14:textId="77777777" w:rsidR="00904FC6" w:rsidRPr="00930AA1" w:rsidRDefault="00904FC6" w:rsidP="00930AA1">
      <w:pPr>
        <w:pStyle w:val="ListParagraph"/>
        <w:numPr>
          <w:ilvl w:val="0"/>
          <w:numId w:val="2"/>
        </w:numPr>
        <w:spacing w:after="0" w:line="480" w:lineRule="auto"/>
        <w:rPr>
          <w:sz w:val="22"/>
          <w:szCs w:val="22"/>
        </w:rPr>
      </w:pPr>
      <w:r w:rsidRPr="00930AA1">
        <w:rPr>
          <w:sz w:val="22"/>
          <w:szCs w:val="22"/>
        </w:rPr>
        <w:t xml:space="preserve">Antonakakis, M. </w:t>
      </w:r>
      <w:r w:rsidRPr="00930AA1">
        <w:rPr>
          <w:i/>
          <w:iCs/>
          <w:sz w:val="22"/>
          <w:szCs w:val="22"/>
        </w:rPr>
        <w:t>et al.</w:t>
      </w:r>
      <w:r w:rsidRPr="00930AA1">
        <w:rPr>
          <w:sz w:val="22"/>
          <w:szCs w:val="22"/>
        </w:rPr>
        <w:t xml:space="preserve"> (2017) ‘Understanding the Mirai Botnet’, </w:t>
      </w:r>
      <w:r w:rsidRPr="00930AA1">
        <w:rPr>
          <w:i/>
          <w:iCs/>
          <w:sz w:val="22"/>
          <w:szCs w:val="22"/>
        </w:rPr>
        <w:t>26th USENIX Security Symposium (USENIX Security 17)</w:t>
      </w:r>
      <w:r w:rsidRPr="00930AA1">
        <w:rPr>
          <w:sz w:val="22"/>
          <w:szCs w:val="22"/>
        </w:rPr>
        <w:t xml:space="preserve">, Vancouver, BC, Canada, 16–18 August, pp. 1093–1110. Available at: </w:t>
      </w:r>
      <w:hyperlink r:id="rId5" w:history="1">
        <w:r w:rsidRPr="00930AA1">
          <w:rPr>
            <w:rStyle w:val="Hyperlink"/>
            <w:sz w:val="22"/>
            <w:szCs w:val="22"/>
          </w:rPr>
          <w:t>https://www.usenix.org/conference/usenixsecurity17/technical-sessions/presentation/antonakakis</w:t>
        </w:r>
      </w:hyperlink>
      <w:r w:rsidRPr="00930AA1">
        <w:rPr>
          <w:sz w:val="22"/>
          <w:szCs w:val="22"/>
        </w:rPr>
        <w:t xml:space="preserve"> (Accessed: 9 August 2026).</w:t>
      </w:r>
    </w:p>
    <w:p w14:paraId="2A0D1D05" w14:textId="77777777" w:rsidR="00904FC6" w:rsidRPr="00930AA1" w:rsidRDefault="00904FC6" w:rsidP="00930AA1">
      <w:pPr>
        <w:pStyle w:val="ListParagraph"/>
        <w:numPr>
          <w:ilvl w:val="0"/>
          <w:numId w:val="2"/>
        </w:numPr>
        <w:spacing w:after="0" w:line="480" w:lineRule="auto"/>
        <w:rPr>
          <w:sz w:val="22"/>
          <w:szCs w:val="22"/>
        </w:rPr>
      </w:pPr>
      <w:r w:rsidRPr="00930AA1">
        <w:rPr>
          <w:sz w:val="22"/>
          <w:szCs w:val="22"/>
        </w:rPr>
        <w:t xml:space="preserve">Ding, X. </w:t>
      </w:r>
      <w:r w:rsidRPr="00930AA1">
        <w:rPr>
          <w:i/>
          <w:iCs/>
          <w:sz w:val="22"/>
          <w:szCs w:val="22"/>
        </w:rPr>
        <w:t>et al.</w:t>
      </w:r>
      <w:r w:rsidRPr="00930AA1">
        <w:rPr>
          <w:sz w:val="22"/>
          <w:szCs w:val="22"/>
        </w:rPr>
        <w:t xml:space="preserve"> (2022) ‘IoT data cleaning techniques: A survey’, </w:t>
      </w:r>
      <w:r w:rsidRPr="00930AA1">
        <w:rPr>
          <w:i/>
          <w:iCs/>
          <w:sz w:val="22"/>
          <w:szCs w:val="22"/>
        </w:rPr>
        <w:t>Intelligent and Converged Networks</w:t>
      </w:r>
      <w:r w:rsidRPr="00930AA1">
        <w:rPr>
          <w:sz w:val="22"/>
          <w:szCs w:val="22"/>
        </w:rPr>
        <w:t xml:space="preserve">, 3(4), pp. 325–339. Available at: </w:t>
      </w:r>
      <w:hyperlink r:id="rId6" w:history="1">
        <w:r w:rsidRPr="00930AA1">
          <w:rPr>
            <w:rStyle w:val="Hyperlink"/>
            <w:sz w:val="22"/>
            <w:szCs w:val="22"/>
          </w:rPr>
          <w:t>https://doi.org/10.23919/ICN.2022.0026</w:t>
        </w:r>
      </w:hyperlink>
      <w:r w:rsidRPr="00930AA1">
        <w:rPr>
          <w:sz w:val="22"/>
          <w:szCs w:val="22"/>
        </w:rPr>
        <w:t>.</w:t>
      </w:r>
    </w:p>
    <w:p w14:paraId="541F0881" w14:textId="77777777" w:rsidR="00904FC6" w:rsidRPr="00930AA1" w:rsidRDefault="00904FC6" w:rsidP="00930AA1">
      <w:pPr>
        <w:pStyle w:val="ListParagraph"/>
        <w:numPr>
          <w:ilvl w:val="0"/>
          <w:numId w:val="2"/>
        </w:numPr>
        <w:spacing w:after="0" w:line="480" w:lineRule="auto"/>
        <w:rPr>
          <w:sz w:val="22"/>
          <w:szCs w:val="22"/>
        </w:rPr>
      </w:pPr>
      <w:r w:rsidRPr="00930AA1">
        <w:rPr>
          <w:sz w:val="22"/>
          <w:szCs w:val="22"/>
        </w:rPr>
        <w:t xml:space="preserve">Huxley, K. (2020) ‘Data cleaning’, in Atkinson, P., Delamont, S., Cernat, A., Sakshaug, J.W. and Williams, R.A. (eds.) </w:t>
      </w:r>
      <w:r w:rsidRPr="00930AA1">
        <w:rPr>
          <w:i/>
          <w:iCs/>
          <w:sz w:val="22"/>
          <w:szCs w:val="22"/>
        </w:rPr>
        <w:t>SAGE Research Methods Foundations</w:t>
      </w:r>
      <w:r w:rsidRPr="00930AA1">
        <w:rPr>
          <w:sz w:val="22"/>
          <w:szCs w:val="22"/>
        </w:rPr>
        <w:t xml:space="preserve">. London: SAGE Publications Ltd. Available at: </w:t>
      </w:r>
      <w:hyperlink r:id="rId7" w:history="1">
        <w:r w:rsidRPr="00930AA1">
          <w:rPr>
            <w:rStyle w:val="Hyperlink"/>
            <w:sz w:val="22"/>
            <w:szCs w:val="22"/>
          </w:rPr>
          <w:t>https://doi.org/10.4135/9781526421036842861</w:t>
        </w:r>
      </w:hyperlink>
      <w:r w:rsidRPr="00930AA1">
        <w:rPr>
          <w:sz w:val="22"/>
          <w:szCs w:val="22"/>
        </w:rPr>
        <w:t xml:space="preserve"> (Accessed: 2 August 2026).</w:t>
      </w:r>
    </w:p>
    <w:p w14:paraId="459625D6" w14:textId="77777777" w:rsidR="00904FC6" w:rsidRPr="00930AA1" w:rsidRDefault="00904FC6" w:rsidP="00930AA1">
      <w:pPr>
        <w:pStyle w:val="ListParagraph"/>
        <w:numPr>
          <w:ilvl w:val="0"/>
          <w:numId w:val="2"/>
        </w:numPr>
        <w:spacing w:after="0" w:line="480" w:lineRule="auto"/>
        <w:rPr>
          <w:sz w:val="22"/>
          <w:szCs w:val="22"/>
        </w:rPr>
      </w:pPr>
      <w:r w:rsidRPr="00930AA1">
        <w:rPr>
          <w:sz w:val="22"/>
          <w:szCs w:val="22"/>
        </w:rPr>
        <w:t xml:space="preserve">Mansouri, T. </w:t>
      </w:r>
      <w:r w:rsidRPr="00930AA1">
        <w:rPr>
          <w:i/>
          <w:iCs/>
          <w:sz w:val="22"/>
          <w:szCs w:val="22"/>
        </w:rPr>
        <w:t>et al.</w:t>
      </w:r>
      <w:r w:rsidRPr="00930AA1">
        <w:rPr>
          <w:sz w:val="22"/>
          <w:szCs w:val="22"/>
        </w:rPr>
        <w:t xml:space="preserve"> (2023) ‘IoT Data Quality Issues and Potential Solutions: A Literature Review’, </w:t>
      </w:r>
      <w:r w:rsidRPr="00930AA1">
        <w:rPr>
          <w:i/>
          <w:iCs/>
          <w:sz w:val="22"/>
          <w:szCs w:val="22"/>
        </w:rPr>
        <w:t>The Computer Journal</w:t>
      </w:r>
      <w:r w:rsidRPr="00930AA1">
        <w:rPr>
          <w:sz w:val="22"/>
          <w:szCs w:val="22"/>
        </w:rPr>
        <w:t xml:space="preserve">, 66(3), pp. 615–625. Available at: </w:t>
      </w:r>
      <w:hyperlink r:id="rId8" w:history="1">
        <w:r w:rsidRPr="00930AA1">
          <w:rPr>
            <w:rStyle w:val="Hyperlink"/>
            <w:sz w:val="22"/>
            <w:szCs w:val="22"/>
          </w:rPr>
          <w:t>https://doi.org/10.1093/comjnl/bxab183</w:t>
        </w:r>
      </w:hyperlink>
      <w:r w:rsidRPr="00930AA1">
        <w:rPr>
          <w:sz w:val="22"/>
          <w:szCs w:val="22"/>
        </w:rPr>
        <w:t>.</w:t>
      </w:r>
    </w:p>
    <w:p w14:paraId="2C366EF1" w14:textId="77777777" w:rsidR="00904FC6" w:rsidRPr="00930AA1" w:rsidRDefault="00904FC6" w:rsidP="00930AA1">
      <w:pPr>
        <w:pStyle w:val="ListParagraph"/>
        <w:numPr>
          <w:ilvl w:val="0"/>
          <w:numId w:val="2"/>
        </w:numPr>
        <w:spacing w:after="0" w:line="480" w:lineRule="auto"/>
        <w:rPr>
          <w:sz w:val="22"/>
          <w:szCs w:val="22"/>
        </w:rPr>
      </w:pPr>
      <w:r w:rsidRPr="00930AA1">
        <w:rPr>
          <w:sz w:val="22"/>
          <w:szCs w:val="22"/>
        </w:rPr>
        <w:t xml:space="preserve">Sardar, T.H. and Pandey, B.K. (2024) </w:t>
      </w:r>
      <w:r w:rsidRPr="00930AA1">
        <w:rPr>
          <w:i/>
          <w:iCs/>
          <w:sz w:val="22"/>
          <w:szCs w:val="22"/>
        </w:rPr>
        <w:t>Big Data Computing</w:t>
      </w:r>
      <w:r w:rsidRPr="00930AA1">
        <w:rPr>
          <w:sz w:val="22"/>
          <w:szCs w:val="22"/>
        </w:rPr>
        <w:t>. Boca Raton, FL: CRC Press.</w:t>
      </w:r>
    </w:p>
    <w:p w14:paraId="3F4AD21E" w14:textId="77777777" w:rsidR="00904FC6" w:rsidRPr="00930AA1" w:rsidRDefault="00904FC6" w:rsidP="00930AA1">
      <w:pPr>
        <w:pStyle w:val="ListParagraph"/>
        <w:numPr>
          <w:ilvl w:val="0"/>
          <w:numId w:val="2"/>
        </w:numPr>
        <w:spacing w:after="0" w:line="480" w:lineRule="auto"/>
        <w:rPr>
          <w:sz w:val="22"/>
          <w:szCs w:val="22"/>
        </w:rPr>
      </w:pPr>
      <w:r w:rsidRPr="00930AA1">
        <w:rPr>
          <w:sz w:val="22"/>
          <w:szCs w:val="22"/>
        </w:rPr>
        <w:t xml:space="preserve">Trautman, L.J. </w:t>
      </w:r>
      <w:r w:rsidRPr="00930AA1">
        <w:rPr>
          <w:i/>
          <w:iCs/>
          <w:sz w:val="22"/>
          <w:szCs w:val="22"/>
        </w:rPr>
        <w:t>et al.</w:t>
      </w:r>
      <w:r w:rsidRPr="00930AA1">
        <w:rPr>
          <w:sz w:val="22"/>
          <w:szCs w:val="22"/>
        </w:rPr>
        <w:t xml:space="preserve"> (2020) ‘Governance of the Internet of Things (IoT)’, </w:t>
      </w:r>
      <w:r w:rsidRPr="00930AA1">
        <w:rPr>
          <w:i/>
          <w:iCs/>
          <w:sz w:val="22"/>
          <w:szCs w:val="22"/>
        </w:rPr>
        <w:t>Jurimetrics</w:t>
      </w:r>
      <w:r w:rsidRPr="00930AA1">
        <w:rPr>
          <w:sz w:val="22"/>
          <w:szCs w:val="22"/>
        </w:rPr>
        <w:t xml:space="preserve">, 60(3), pp. 315–352. Available at: </w:t>
      </w:r>
      <w:hyperlink r:id="rId9" w:history="1">
        <w:r w:rsidRPr="00930AA1">
          <w:rPr>
            <w:rStyle w:val="Hyperlink"/>
            <w:sz w:val="22"/>
            <w:szCs w:val="22"/>
          </w:rPr>
          <w:t>https://doi.org/10.2139/ssrn.3443973</w:t>
        </w:r>
      </w:hyperlink>
      <w:r w:rsidRPr="00930AA1">
        <w:rPr>
          <w:sz w:val="22"/>
          <w:szCs w:val="22"/>
        </w:rPr>
        <w:t>.</w:t>
      </w:r>
    </w:p>
    <w:p w14:paraId="08785D82" w14:textId="77777777" w:rsidR="00DF5AC5" w:rsidRPr="00704436" w:rsidRDefault="00DF5AC5" w:rsidP="00704436">
      <w:pPr>
        <w:spacing w:after="0" w:line="480" w:lineRule="auto"/>
        <w:rPr>
          <w:sz w:val="22"/>
          <w:szCs w:val="22"/>
        </w:rPr>
      </w:pPr>
    </w:p>
    <w:sectPr w:rsidR="00DF5AC5" w:rsidRPr="00704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319E"/>
    <w:multiLevelType w:val="hybridMultilevel"/>
    <w:tmpl w:val="6AB05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4E2E6A"/>
    <w:multiLevelType w:val="hybridMultilevel"/>
    <w:tmpl w:val="850A7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7534853">
    <w:abstractNumId w:val="1"/>
  </w:num>
  <w:num w:numId="2" w16cid:durableId="783811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436"/>
    <w:rsid w:val="001121EF"/>
    <w:rsid w:val="00320B3C"/>
    <w:rsid w:val="0039046F"/>
    <w:rsid w:val="00704436"/>
    <w:rsid w:val="00904FC6"/>
    <w:rsid w:val="00930AA1"/>
    <w:rsid w:val="00C505D3"/>
    <w:rsid w:val="00DF5A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9280"/>
  <w15:chartTrackingRefBased/>
  <w15:docId w15:val="{2E67DBA2-6F70-4D7D-9724-B7CA1858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436"/>
    <w:rPr>
      <w:rFonts w:eastAsiaTheme="majorEastAsia" w:cstheme="majorBidi"/>
      <w:color w:val="272727" w:themeColor="text1" w:themeTint="D8"/>
    </w:rPr>
  </w:style>
  <w:style w:type="paragraph" w:styleId="Title">
    <w:name w:val="Title"/>
    <w:basedOn w:val="Normal"/>
    <w:next w:val="Normal"/>
    <w:link w:val="TitleChar"/>
    <w:uiPriority w:val="10"/>
    <w:qFormat/>
    <w:rsid w:val="0070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436"/>
    <w:pPr>
      <w:spacing w:before="160"/>
      <w:jc w:val="center"/>
    </w:pPr>
    <w:rPr>
      <w:i/>
      <w:iCs/>
      <w:color w:val="404040" w:themeColor="text1" w:themeTint="BF"/>
    </w:rPr>
  </w:style>
  <w:style w:type="character" w:customStyle="1" w:styleId="QuoteChar">
    <w:name w:val="Quote Char"/>
    <w:basedOn w:val="DefaultParagraphFont"/>
    <w:link w:val="Quote"/>
    <w:uiPriority w:val="29"/>
    <w:rsid w:val="00704436"/>
    <w:rPr>
      <w:i/>
      <w:iCs/>
      <w:color w:val="404040" w:themeColor="text1" w:themeTint="BF"/>
    </w:rPr>
  </w:style>
  <w:style w:type="paragraph" w:styleId="ListParagraph">
    <w:name w:val="List Paragraph"/>
    <w:basedOn w:val="Normal"/>
    <w:uiPriority w:val="34"/>
    <w:qFormat/>
    <w:rsid w:val="00704436"/>
    <w:pPr>
      <w:ind w:left="720"/>
      <w:contextualSpacing/>
    </w:pPr>
  </w:style>
  <w:style w:type="character" w:styleId="IntenseEmphasis">
    <w:name w:val="Intense Emphasis"/>
    <w:basedOn w:val="DefaultParagraphFont"/>
    <w:uiPriority w:val="21"/>
    <w:qFormat/>
    <w:rsid w:val="00704436"/>
    <w:rPr>
      <w:i/>
      <w:iCs/>
      <w:color w:val="0F4761" w:themeColor="accent1" w:themeShade="BF"/>
    </w:rPr>
  </w:style>
  <w:style w:type="paragraph" w:styleId="IntenseQuote">
    <w:name w:val="Intense Quote"/>
    <w:basedOn w:val="Normal"/>
    <w:next w:val="Normal"/>
    <w:link w:val="IntenseQuoteChar"/>
    <w:uiPriority w:val="30"/>
    <w:qFormat/>
    <w:rsid w:val="00704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436"/>
    <w:rPr>
      <w:i/>
      <w:iCs/>
      <w:color w:val="0F4761" w:themeColor="accent1" w:themeShade="BF"/>
    </w:rPr>
  </w:style>
  <w:style w:type="character" w:styleId="IntenseReference">
    <w:name w:val="Intense Reference"/>
    <w:basedOn w:val="DefaultParagraphFont"/>
    <w:uiPriority w:val="32"/>
    <w:qFormat/>
    <w:rsid w:val="00704436"/>
    <w:rPr>
      <w:b/>
      <w:bCs/>
      <w:smallCaps/>
      <w:color w:val="0F4761" w:themeColor="accent1" w:themeShade="BF"/>
      <w:spacing w:val="5"/>
    </w:rPr>
  </w:style>
  <w:style w:type="character" w:styleId="Hyperlink">
    <w:name w:val="Hyperlink"/>
    <w:basedOn w:val="DefaultParagraphFont"/>
    <w:uiPriority w:val="99"/>
    <w:unhideWhenUsed/>
    <w:rsid w:val="00704436"/>
    <w:rPr>
      <w:color w:val="467886" w:themeColor="hyperlink"/>
      <w:u w:val="single"/>
    </w:rPr>
  </w:style>
  <w:style w:type="character" w:styleId="UnresolvedMention">
    <w:name w:val="Unresolved Mention"/>
    <w:basedOn w:val="DefaultParagraphFont"/>
    <w:uiPriority w:val="99"/>
    <w:semiHidden/>
    <w:unhideWhenUsed/>
    <w:rsid w:val="00704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comjnl/bxab183" TargetMode="External"/><Relationship Id="rId3" Type="http://schemas.openxmlformats.org/officeDocument/2006/relationships/settings" Target="settings.xml"/><Relationship Id="rId7" Type="http://schemas.openxmlformats.org/officeDocument/2006/relationships/hyperlink" Target="https://doi.org/10.4135/97815264210368428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3919/ICN.2022.0026" TargetMode="External"/><Relationship Id="rId11" Type="http://schemas.openxmlformats.org/officeDocument/2006/relationships/theme" Target="theme/theme1.xml"/><Relationship Id="rId5" Type="http://schemas.openxmlformats.org/officeDocument/2006/relationships/hyperlink" Target="https://www.usenix.org/conference/usenixsecurity17/technical-sessions/presentation/antonakaki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139/ssrn.3443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522</Words>
  <Characters>3341</Characters>
  <Application>Microsoft Office Word</Application>
  <DocSecurity>0</DocSecurity>
  <Lines>53</Lines>
  <Paragraphs>14</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5</cp:revision>
  <dcterms:created xsi:type="dcterms:W3CDTF">2026-08-09T15:00:00Z</dcterms:created>
  <dcterms:modified xsi:type="dcterms:W3CDTF">2026-08-11T08:50:00Z</dcterms:modified>
</cp:coreProperties>
</file>