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C8F56" w14:textId="77777777" w:rsidR="000C6263" w:rsidRDefault="00725998" w:rsidP="00725998">
      <w:pPr>
        <w:spacing w:after="0" w:line="480" w:lineRule="auto"/>
        <w:rPr>
          <w:b/>
          <w:bCs/>
          <w:sz w:val="22"/>
          <w:szCs w:val="22"/>
          <w:u w:val="single"/>
        </w:rPr>
      </w:pPr>
      <w:r w:rsidRPr="00725998">
        <w:rPr>
          <w:b/>
          <w:bCs/>
          <w:sz w:val="22"/>
          <w:szCs w:val="22"/>
          <w:u w:val="single"/>
        </w:rPr>
        <w:t xml:space="preserve">Unit 4: Probabilities, Probability Distributions, and Sampling – </w:t>
      </w:r>
    </w:p>
    <w:p w14:paraId="51EE3D2F" w14:textId="1355647B" w:rsidR="00725998" w:rsidRPr="00725998" w:rsidRDefault="00725998" w:rsidP="00725998">
      <w:pPr>
        <w:spacing w:after="0" w:line="480" w:lineRule="auto"/>
        <w:rPr>
          <w:b/>
          <w:bCs/>
          <w:sz w:val="22"/>
          <w:szCs w:val="22"/>
          <w:u w:val="single"/>
        </w:rPr>
      </w:pPr>
      <w:r w:rsidRPr="00725998">
        <w:rPr>
          <w:b/>
          <w:bCs/>
          <w:sz w:val="22"/>
          <w:szCs w:val="22"/>
          <w:u w:val="single"/>
        </w:rPr>
        <w:t>Learning Summary and Reflection</w:t>
      </w:r>
    </w:p>
    <w:p w14:paraId="3BAE21C5" w14:textId="77777777" w:rsidR="00725998" w:rsidRPr="00725998" w:rsidRDefault="00725998" w:rsidP="00725998">
      <w:pPr>
        <w:spacing w:after="0" w:line="480" w:lineRule="auto"/>
        <w:rPr>
          <w:sz w:val="22"/>
          <w:szCs w:val="22"/>
        </w:rPr>
      </w:pPr>
      <w:r w:rsidRPr="00725998">
        <w:rPr>
          <w:sz w:val="22"/>
          <w:szCs w:val="22"/>
        </w:rPr>
        <w:t>This unit helped me build a clearer understanding of probability and how it is applied within statistical analysis. The reading by Bader and Leuzinger (2025) introduced the principles behind probability distributions, while The Organic Chemistry Tutor (2019) explained how the addition and multiplication rules can be used when calculating probabilities for mutually exclusive and independent events.</w:t>
      </w:r>
    </w:p>
    <w:p w14:paraId="22525969" w14:textId="77777777" w:rsidR="00725998" w:rsidRPr="00725998" w:rsidRDefault="00725998" w:rsidP="00725998">
      <w:pPr>
        <w:spacing w:after="0" w:line="480" w:lineRule="auto"/>
        <w:rPr>
          <w:sz w:val="22"/>
          <w:szCs w:val="22"/>
        </w:rPr>
      </w:pPr>
      <w:r w:rsidRPr="00725998">
        <w:rPr>
          <w:sz w:val="22"/>
          <w:szCs w:val="22"/>
        </w:rPr>
        <w:t>A probability distribution shows the possible outcomes of a random variable together with how likely each outcome is to occur (Bader and Leuzinger, 2025). Distributions can generally be separated into discrete and continuous distributions. Discrete distributions are appropriate when the possible outcomes can be counted. The binomial distribution, for example, can be applied to a fixed number of trials where there are two possible outcomes. The Poisson distribution is useful for examining how frequently an event occurs over a particular period or interval, while the hypergeometric distribution relates to sampling from a finite population without replacement (Bader and Leuzinger, 2025).</w:t>
      </w:r>
    </w:p>
    <w:p w14:paraId="4C3CD8A0" w14:textId="77777777" w:rsidR="00725998" w:rsidRPr="00725998" w:rsidRDefault="00725998" w:rsidP="00725998">
      <w:pPr>
        <w:spacing w:after="0" w:line="480" w:lineRule="auto"/>
        <w:rPr>
          <w:sz w:val="22"/>
          <w:szCs w:val="22"/>
        </w:rPr>
      </w:pPr>
      <w:r w:rsidRPr="00725998">
        <w:rPr>
          <w:sz w:val="22"/>
          <w:szCs w:val="22"/>
        </w:rPr>
        <w:t>The Wolfram simulations allowed me to explore these concepts interactively. Changing the values within the binomial, Poisson and hypergeometric demonstrations showed how different parameters can influence the resulting probabilities and distributions (Wolfram Demonstrations Project, n.d.-a; n.d.-b; n.d.-c). The marble activity provided an even simpler illustration of probability. Changing the number of red, blue and yellow marbles altered the likelihood of selecting each colour, demonstrating the relationship between the number of favourable outcomes and the total number of possible outcomes (Wolfram Demonstrations Project, n.d.-g).</w:t>
      </w:r>
    </w:p>
    <w:p w14:paraId="554F56E7" w14:textId="77777777" w:rsidR="00725998" w:rsidRPr="00725998" w:rsidRDefault="00725998" w:rsidP="00725998">
      <w:pPr>
        <w:spacing w:after="0" w:line="480" w:lineRule="auto"/>
        <w:rPr>
          <w:sz w:val="22"/>
          <w:szCs w:val="22"/>
        </w:rPr>
      </w:pPr>
      <w:r w:rsidRPr="00725998">
        <w:rPr>
          <w:sz w:val="22"/>
          <w:szCs w:val="22"/>
        </w:rPr>
        <w:t xml:space="preserve">I also explored continuous distributions, including the normal, uniform and exponential distributions. Unlike discrete distributions, continuous distributions can represent values across a range rather than individual countable outcomes (Bader and Leuzinger, 2025). The </w:t>
      </w:r>
      <w:r w:rsidRPr="00725998">
        <w:rPr>
          <w:sz w:val="22"/>
          <w:szCs w:val="22"/>
        </w:rPr>
        <w:lastRenderedPageBreak/>
        <w:t>Wolfram activities helped me visualise the differences between these distributions and understand how changing their parameters affects their shape and spread (Wolfram Demonstrations Project, n.d.-d; n.d.-e; n.d.-f).</w:t>
      </w:r>
    </w:p>
    <w:p w14:paraId="5FC5C185" w14:textId="77777777" w:rsidR="00725998" w:rsidRPr="00725998" w:rsidRDefault="00725998" w:rsidP="00725998">
      <w:pPr>
        <w:spacing w:after="0" w:line="480" w:lineRule="auto"/>
        <w:rPr>
          <w:sz w:val="22"/>
          <w:szCs w:val="22"/>
        </w:rPr>
      </w:pPr>
      <w:r w:rsidRPr="00725998">
        <w:rPr>
          <w:sz w:val="22"/>
          <w:szCs w:val="22"/>
        </w:rPr>
        <w:t>Another concept covered was quantiles, which are used to divide ordered data into defined proportions. Quartiles, for example, separate a dataset into four sections, while percentiles divide it into 100. These measures are useful when examining where observations sit within a dataset and when describing the overall distribution of the data (Bader and Leuzinger, 2025).</w:t>
      </w:r>
    </w:p>
    <w:p w14:paraId="409DF0D8" w14:textId="77777777" w:rsidR="00725998" w:rsidRPr="00725998" w:rsidRDefault="00725998" w:rsidP="00725998">
      <w:pPr>
        <w:spacing w:after="0" w:line="480" w:lineRule="auto"/>
        <w:rPr>
          <w:sz w:val="22"/>
          <w:szCs w:val="22"/>
        </w:rPr>
      </w:pPr>
      <w:r w:rsidRPr="00725998">
        <w:rPr>
          <w:sz w:val="22"/>
          <w:szCs w:val="22"/>
        </w:rPr>
        <w:t>The Central Limit Theorem (CLT) was also an important part of the learning. It explains that, under suitable conditions, the distribution of sample means becomes increasingly similar to a normal distribution as the sample size increases, even when the original population does not follow a normal distribution (Bader and Leuzinger, 2025). I can see why this is important in statistical analysis, as it supports the use of a range of statistical techniques when analysing sample data.</w:t>
      </w:r>
    </w:p>
    <w:p w14:paraId="062D6D08" w14:textId="77777777" w:rsidR="00725998" w:rsidRPr="00725998" w:rsidRDefault="00725998" w:rsidP="00725998">
      <w:pPr>
        <w:spacing w:after="0" w:line="480" w:lineRule="auto"/>
        <w:rPr>
          <w:sz w:val="22"/>
          <w:szCs w:val="22"/>
        </w:rPr>
      </w:pPr>
      <w:r w:rsidRPr="00725998">
        <w:rPr>
          <w:sz w:val="22"/>
          <w:szCs w:val="22"/>
        </w:rPr>
        <w:t xml:space="preserve">The unit also introduced Type I and Type II errors in hypothesis testing. A Type I error occurs when the null hypothesis is rejected when it is </w:t>
      </w:r>
      <w:proofErr w:type="gramStart"/>
      <w:r w:rsidRPr="00725998">
        <w:rPr>
          <w:sz w:val="22"/>
          <w:szCs w:val="22"/>
        </w:rPr>
        <w:t>actually true</w:t>
      </w:r>
      <w:proofErr w:type="gramEnd"/>
      <w:r w:rsidRPr="00725998">
        <w:rPr>
          <w:sz w:val="22"/>
          <w:szCs w:val="22"/>
        </w:rPr>
        <w:t>, whereas a Type II error occurs when the null hypothesis is not rejected even though it is false (Bader and Leuzinger, 2025). Understanding these errors has highlighted that statistical conclusions always need to be interpreted carefully.</w:t>
      </w:r>
    </w:p>
    <w:p w14:paraId="17BC883A" w14:textId="77777777" w:rsidR="00725998" w:rsidRPr="00725998" w:rsidRDefault="00725998" w:rsidP="00725998">
      <w:pPr>
        <w:spacing w:after="0" w:line="480" w:lineRule="auto"/>
        <w:rPr>
          <w:b/>
          <w:bCs/>
          <w:sz w:val="22"/>
          <w:szCs w:val="22"/>
          <w:u w:val="single"/>
        </w:rPr>
      </w:pPr>
      <w:r w:rsidRPr="00725998">
        <w:rPr>
          <w:b/>
          <w:bCs/>
          <w:sz w:val="22"/>
          <w:szCs w:val="22"/>
          <w:u w:val="single"/>
        </w:rPr>
        <w:t>Reflection</w:t>
      </w:r>
    </w:p>
    <w:p w14:paraId="36C2D504" w14:textId="77777777" w:rsidR="00725998" w:rsidRPr="00725998" w:rsidRDefault="00725998" w:rsidP="00725998">
      <w:pPr>
        <w:spacing w:after="0" w:line="480" w:lineRule="auto"/>
        <w:rPr>
          <w:sz w:val="22"/>
          <w:szCs w:val="22"/>
        </w:rPr>
      </w:pPr>
      <w:r w:rsidRPr="00725998">
        <w:rPr>
          <w:sz w:val="22"/>
          <w:szCs w:val="22"/>
        </w:rPr>
        <w:t>Completing the reading alongside the interactive activities helped me understand probability in a more practical way. Rather than only learning definitions and formulas, I was able to change variables in the Wolfram demonstrations and observe how the probabilities and distributions changed. This was particularly useful for distinguishing between discrete and continuous distributions and understanding when different distributions might be appropriate.</w:t>
      </w:r>
    </w:p>
    <w:p w14:paraId="6B72B9EA" w14:textId="77777777" w:rsidR="00725998" w:rsidRPr="00725998" w:rsidRDefault="00725998" w:rsidP="00725998">
      <w:pPr>
        <w:spacing w:after="0" w:line="480" w:lineRule="auto"/>
        <w:rPr>
          <w:sz w:val="22"/>
          <w:szCs w:val="22"/>
        </w:rPr>
      </w:pPr>
      <w:r w:rsidRPr="00725998">
        <w:rPr>
          <w:sz w:val="22"/>
          <w:szCs w:val="22"/>
        </w:rPr>
        <w:t xml:space="preserve">One of my main learning points is that statistical results should not simply be accepted because a calculation produces a particular value. The type of data, choice of distribution, </w:t>
      </w:r>
      <w:r w:rsidRPr="00725998">
        <w:rPr>
          <w:sz w:val="22"/>
          <w:szCs w:val="22"/>
        </w:rPr>
        <w:lastRenderedPageBreak/>
        <w:t>sample size and possibility of statistical error all need to be considered when interpreting the result (Bader and Leuzinger, 2025). This has made me more aware of the importance of critically assessing numerical evidence before using it to support a conclusion.</w:t>
      </w:r>
    </w:p>
    <w:p w14:paraId="2B534071" w14:textId="77777777" w:rsidR="00725998" w:rsidRPr="00725998" w:rsidRDefault="00725998" w:rsidP="00725998">
      <w:pPr>
        <w:spacing w:after="0" w:line="480" w:lineRule="auto"/>
        <w:rPr>
          <w:sz w:val="22"/>
          <w:szCs w:val="22"/>
        </w:rPr>
      </w:pPr>
      <w:r w:rsidRPr="00725998">
        <w:rPr>
          <w:sz w:val="22"/>
          <w:szCs w:val="22"/>
        </w:rPr>
        <w:t>Overall, this unit has strengthened my understanding of the mathematical and statistical principles that underpin Data Science and AI. I now have a better appreciation of how probability can be used to describe uncertainty, analyse data and support decision-making. It has also reinforced the importance of interpreting statistical findings within their wider context rather than relying solely on numerical outputs.</w:t>
      </w:r>
    </w:p>
    <w:p w14:paraId="33DC0166" w14:textId="77777777" w:rsidR="00725998" w:rsidRPr="00725998" w:rsidRDefault="00725998" w:rsidP="00725998">
      <w:pPr>
        <w:spacing w:after="0" w:line="480" w:lineRule="auto"/>
        <w:rPr>
          <w:b/>
          <w:bCs/>
          <w:sz w:val="22"/>
          <w:szCs w:val="22"/>
          <w:u w:val="single"/>
        </w:rPr>
      </w:pPr>
      <w:r w:rsidRPr="00725998">
        <w:rPr>
          <w:b/>
          <w:bCs/>
          <w:sz w:val="22"/>
          <w:szCs w:val="22"/>
          <w:u w:val="single"/>
        </w:rPr>
        <w:t>References</w:t>
      </w:r>
    </w:p>
    <w:p w14:paraId="1A2E716F"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Bader, M. and Leuzinger, S. (2025) </w:t>
      </w:r>
      <w:r w:rsidRPr="00725998">
        <w:rPr>
          <w:i/>
          <w:iCs/>
          <w:sz w:val="22"/>
          <w:szCs w:val="22"/>
        </w:rPr>
        <w:t>R-</w:t>
      </w:r>
      <w:proofErr w:type="spellStart"/>
      <w:r w:rsidRPr="00725998">
        <w:rPr>
          <w:i/>
          <w:iCs/>
          <w:sz w:val="22"/>
          <w:szCs w:val="22"/>
        </w:rPr>
        <w:t>ticulate</w:t>
      </w:r>
      <w:proofErr w:type="spellEnd"/>
      <w:r w:rsidRPr="00725998">
        <w:rPr>
          <w:i/>
          <w:iCs/>
          <w:sz w:val="22"/>
          <w:szCs w:val="22"/>
        </w:rPr>
        <w:t>: A Beginner’s Guide to Data Analysis for Natural Scientists</w:t>
      </w:r>
      <w:r w:rsidRPr="00725998">
        <w:rPr>
          <w:sz w:val="22"/>
          <w:szCs w:val="22"/>
        </w:rPr>
        <w:t>. 1st edn. Hoboken, NJ: Wiley.</w:t>
      </w:r>
    </w:p>
    <w:p w14:paraId="02C27ED4"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The Organic Chemistry Tutor (2019) </w:t>
      </w:r>
      <w:r w:rsidRPr="00725998">
        <w:rPr>
          <w:i/>
          <w:iCs/>
          <w:sz w:val="22"/>
          <w:szCs w:val="22"/>
        </w:rPr>
        <w:t>Multiplication &amp; Addition Rule – Probability – Mutually Exclusive &amp; Independent Events</w:t>
      </w:r>
      <w:r w:rsidRPr="00725998">
        <w:rPr>
          <w:sz w:val="22"/>
          <w:szCs w:val="22"/>
        </w:rPr>
        <w:t>. 31 March. Available at: YouTube (Accessed: 9 August 2026).</w:t>
      </w:r>
    </w:p>
    <w:p w14:paraId="7A8833C6"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Wolfram Demonstrations Project (n.d.-a) </w:t>
      </w:r>
      <w:r w:rsidRPr="00725998">
        <w:rPr>
          <w:i/>
          <w:iCs/>
          <w:sz w:val="22"/>
          <w:szCs w:val="22"/>
        </w:rPr>
        <w:t>Binomial Distribution</w:t>
      </w:r>
      <w:r w:rsidRPr="00725998">
        <w:rPr>
          <w:sz w:val="22"/>
          <w:szCs w:val="22"/>
        </w:rPr>
        <w:t>. Wolfram Research. Available at: Wolfram Demonstrations Project (Accessed: 9 August 2026).</w:t>
      </w:r>
    </w:p>
    <w:p w14:paraId="56372BF1"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Wolfram Demonstrations Project (n.d.-b) </w:t>
      </w:r>
      <w:r w:rsidRPr="00725998">
        <w:rPr>
          <w:i/>
          <w:iCs/>
          <w:sz w:val="22"/>
          <w:szCs w:val="22"/>
        </w:rPr>
        <w:t>Simulating the Poisson Process</w:t>
      </w:r>
      <w:r w:rsidRPr="00725998">
        <w:rPr>
          <w:sz w:val="22"/>
          <w:szCs w:val="22"/>
        </w:rPr>
        <w:t>. Wolfram Research. Available at: Wolfram Demonstrations Project (Accessed: 9 August 2026).</w:t>
      </w:r>
    </w:p>
    <w:p w14:paraId="1D9D9472"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Wolfram Demonstrations Project (n.d.-c) </w:t>
      </w:r>
      <w:r w:rsidRPr="00725998">
        <w:rPr>
          <w:i/>
          <w:iCs/>
          <w:sz w:val="22"/>
          <w:szCs w:val="22"/>
        </w:rPr>
        <w:t>The Hypergeometric Distribution</w:t>
      </w:r>
      <w:r w:rsidRPr="00725998">
        <w:rPr>
          <w:sz w:val="22"/>
          <w:szCs w:val="22"/>
        </w:rPr>
        <w:t>. Wolfram Research. Available at: Wolfram Demonstrations Project (Accessed: 9 August 2026).</w:t>
      </w:r>
    </w:p>
    <w:p w14:paraId="41548F5D"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Wolfram Demonstrations Project (n.d.-d) </w:t>
      </w:r>
      <w:r w:rsidRPr="00725998">
        <w:rPr>
          <w:i/>
          <w:iCs/>
          <w:sz w:val="22"/>
          <w:szCs w:val="22"/>
        </w:rPr>
        <w:t>The Normal Distribution</w:t>
      </w:r>
      <w:r w:rsidRPr="00725998">
        <w:rPr>
          <w:sz w:val="22"/>
          <w:szCs w:val="22"/>
        </w:rPr>
        <w:t>. Wolfram Research. Available at: Wolfram Demonstrations Project (Accessed: 9 August 2026).</w:t>
      </w:r>
    </w:p>
    <w:p w14:paraId="640CB43B"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Wolfram Demonstrations Project (n.d.-e) </w:t>
      </w:r>
      <w:r w:rsidRPr="00725998">
        <w:rPr>
          <w:i/>
          <w:iCs/>
          <w:sz w:val="22"/>
          <w:szCs w:val="22"/>
        </w:rPr>
        <w:t>The Continuous Uniform Distribution</w:t>
      </w:r>
      <w:r w:rsidRPr="00725998">
        <w:rPr>
          <w:sz w:val="22"/>
          <w:szCs w:val="22"/>
        </w:rPr>
        <w:t>. Wolfram Research. Available at: Wolfram Demonstrations Project (Accessed: 9 August 2026).</w:t>
      </w:r>
    </w:p>
    <w:p w14:paraId="566B2648"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t xml:space="preserve">Wolfram Demonstrations Project (n.d.-f) </w:t>
      </w:r>
      <w:r w:rsidRPr="00725998">
        <w:rPr>
          <w:i/>
          <w:iCs/>
          <w:sz w:val="22"/>
          <w:szCs w:val="22"/>
        </w:rPr>
        <w:t>The Exponential Distribution</w:t>
      </w:r>
      <w:r w:rsidRPr="00725998">
        <w:rPr>
          <w:sz w:val="22"/>
          <w:szCs w:val="22"/>
        </w:rPr>
        <w:t>. Wolfram Research. Available at: Wolfram Demonstrations Project (Accessed: 9 August 2026).</w:t>
      </w:r>
    </w:p>
    <w:p w14:paraId="67A872BE" w14:textId="77777777" w:rsidR="00725998" w:rsidRPr="00725998" w:rsidRDefault="00725998" w:rsidP="00725998">
      <w:pPr>
        <w:pStyle w:val="ListParagraph"/>
        <w:numPr>
          <w:ilvl w:val="0"/>
          <w:numId w:val="1"/>
        </w:numPr>
        <w:spacing w:after="0" w:line="480" w:lineRule="auto"/>
        <w:rPr>
          <w:sz w:val="22"/>
          <w:szCs w:val="22"/>
        </w:rPr>
      </w:pPr>
      <w:r w:rsidRPr="00725998">
        <w:rPr>
          <w:sz w:val="22"/>
          <w:szCs w:val="22"/>
        </w:rPr>
        <w:lastRenderedPageBreak/>
        <w:t xml:space="preserve">Wolfram Demonstrations Project (n.d.-g) </w:t>
      </w:r>
      <w:r w:rsidRPr="00725998">
        <w:rPr>
          <w:i/>
          <w:iCs/>
          <w:sz w:val="22"/>
          <w:szCs w:val="22"/>
        </w:rPr>
        <w:t>Marble Probability</w:t>
      </w:r>
      <w:r w:rsidRPr="00725998">
        <w:rPr>
          <w:sz w:val="22"/>
          <w:szCs w:val="22"/>
        </w:rPr>
        <w:t>. Wolfram Research. Available at: Wolfram Demonstrations Project (Accessed: 9 August 2026).</w:t>
      </w:r>
    </w:p>
    <w:p w14:paraId="449DC8DA" w14:textId="77777777" w:rsidR="00DF5AC5" w:rsidRPr="00725998" w:rsidRDefault="00DF5AC5" w:rsidP="00725998">
      <w:pPr>
        <w:spacing w:after="0" w:line="480" w:lineRule="auto"/>
        <w:rPr>
          <w:sz w:val="22"/>
          <w:szCs w:val="22"/>
        </w:rPr>
      </w:pPr>
    </w:p>
    <w:sectPr w:rsidR="00DF5AC5" w:rsidRPr="007259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E446A"/>
    <w:multiLevelType w:val="hybridMultilevel"/>
    <w:tmpl w:val="BE7C2E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62931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998"/>
    <w:rsid w:val="000C6263"/>
    <w:rsid w:val="00377B8D"/>
    <w:rsid w:val="00725998"/>
    <w:rsid w:val="00C505D3"/>
    <w:rsid w:val="00DF5AC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6C412"/>
  <w15:chartTrackingRefBased/>
  <w15:docId w15:val="{D76B863A-CC89-44AF-AD47-DAFB6D85E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59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259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59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59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59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9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9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9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9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59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259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59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59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59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9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9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9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998"/>
    <w:rPr>
      <w:rFonts w:eastAsiaTheme="majorEastAsia" w:cstheme="majorBidi"/>
      <w:color w:val="272727" w:themeColor="text1" w:themeTint="D8"/>
    </w:rPr>
  </w:style>
  <w:style w:type="paragraph" w:styleId="Title">
    <w:name w:val="Title"/>
    <w:basedOn w:val="Normal"/>
    <w:next w:val="Normal"/>
    <w:link w:val="TitleChar"/>
    <w:uiPriority w:val="10"/>
    <w:qFormat/>
    <w:rsid w:val="007259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9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9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9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998"/>
    <w:pPr>
      <w:spacing w:before="160"/>
      <w:jc w:val="center"/>
    </w:pPr>
    <w:rPr>
      <w:i/>
      <w:iCs/>
      <w:color w:val="404040" w:themeColor="text1" w:themeTint="BF"/>
    </w:rPr>
  </w:style>
  <w:style w:type="character" w:customStyle="1" w:styleId="QuoteChar">
    <w:name w:val="Quote Char"/>
    <w:basedOn w:val="DefaultParagraphFont"/>
    <w:link w:val="Quote"/>
    <w:uiPriority w:val="29"/>
    <w:rsid w:val="00725998"/>
    <w:rPr>
      <w:i/>
      <w:iCs/>
      <w:color w:val="404040" w:themeColor="text1" w:themeTint="BF"/>
    </w:rPr>
  </w:style>
  <w:style w:type="paragraph" w:styleId="ListParagraph">
    <w:name w:val="List Paragraph"/>
    <w:basedOn w:val="Normal"/>
    <w:uiPriority w:val="34"/>
    <w:qFormat/>
    <w:rsid w:val="00725998"/>
    <w:pPr>
      <w:ind w:left="720"/>
      <w:contextualSpacing/>
    </w:pPr>
  </w:style>
  <w:style w:type="character" w:styleId="IntenseEmphasis">
    <w:name w:val="Intense Emphasis"/>
    <w:basedOn w:val="DefaultParagraphFont"/>
    <w:uiPriority w:val="21"/>
    <w:qFormat/>
    <w:rsid w:val="00725998"/>
    <w:rPr>
      <w:i/>
      <w:iCs/>
      <w:color w:val="0F4761" w:themeColor="accent1" w:themeShade="BF"/>
    </w:rPr>
  </w:style>
  <w:style w:type="paragraph" w:styleId="IntenseQuote">
    <w:name w:val="Intense Quote"/>
    <w:basedOn w:val="Normal"/>
    <w:next w:val="Normal"/>
    <w:link w:val="IntenseQuoteChar"/>
    <w:uiPriority w:val="30"/>
    <w:qFormat/>
    <w:rsid w:val="007259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998"/>
    <w:rPr>
      <w:i/>
      <w:iCs/>
      <w:color w:val="0F4761" w:themeColor="accent1" w:themeShade="BF"/>
    </w:rPr>
  </w:style>
  <w:style w:type="character" w:styleId="IntenseReference">
    <w:name w:val="Intense Reference"/>
    <w:basedOn w:val="DefaultParagraphFont"/>
    <w:uiPriority w:val="32"/>
    <w:qFormat/>
    <w:rsid w:val="007259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Template>
  <TotalTime>3</TotalTime>
  <Pages>4</Pages>
  <Words>869</Words>
  <Characters>5472</Characters>
  <Application>Microsoft Office Word</Application>
  <DocSecurity>0</DocSecurity>
  <Lines>85</Lines>
  <Paragraphs>25</Paragraphs>
  <ScaleCrop>false</ScaleCrop>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NWANKWO, Chika (THE ROBERT JONES AND AGNES HUNT ORTHOPAEDIC HOSPITAL)</dc:creator>
  <cp:keywords/>
  <dc:description/>
  <cp:lastModifiedBy>NWANKWO, Chika (THE ROBERT JONES AND AGNES HUNT ORTHOPAEDIC HOSPITAL)</cp:lastModifiedBy>
  <cp:revision>3</cp:revision>
  <dcterms:created xsi:type="dcterms:W3CDTF">2026-08-09T14:01:00Z</dcterms:created>
  <dcterms:modified xsi:type="dcterms:W3CDTF">2026-08-09T14:11:00Z</dcterms:modified>
</cp:coreProperties>
</file>