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8F56" w14:textId="77777777" w:rsidR="000C6263" w:rsidRPr="000A379E" w:rsidRDefault="00725998" w:rsidP="00725998">
      <w:pPr>
        <w:spacing w:after="0" w:line="480" w:lineRule="auto"/>
        <w:rPr>
          <w:b/>
          <w:bCs/>
          <w:sz w:val="22"/>
          <w:szCs w:val="22"/>
          <w:u w:val="single"/>
        </w:rPr>
      </w:pPr>
      <w:r w:rsidRPr="000A379E">
        <w:rPr>
          <w:b/>
          <w:bCs/>
          <w:sz w:val="22"/>
          <w:szCs w:val="22"/>
          <w:u w:val="single"/>
        </w:rPr>
        <w:t xml:space="preserve">Unit 4: Probabilities, Probability Distributions, and Sampling – </w:t>
      </w:r>
    </w:p>
    <w:p w14:paraId="51EE3D2F" w14:textId="1355647B" w:rsidR="00725998" w:rsidRPr="000A379E" w:rsidRDefault="00725998" w:rsidP="00725998">
      <w:pPr>
        <w:spacing w:after="0" w:line="480" w:lineRule="auto"/>
        <w:rPr>
          <w:b/>
          <w:bCs/>
          <w:sz w:val="22"/>
          <w:szCs w:val="22"/>
          <w:u w:val="single"/>
        </w:rPr>
      </w:pPr>
      <w:r w:rsidRPr="000A379E">
        <w:rPr>
          <w:b/>
          <w:bCs/>
          <w:sz w:val="22"/>
          <w:szCs w:val="22"/>
          <w:u w:val="single"/>
        </w:rPr>
        <w:t>Learning Summary and Reflection</w:t>
      </w:r>
    </w:p>
    <w:p w14:paraId="20E25597" w14:textId="77777777" w:rsidR="00F80235" w:rsidRPr="00F80235" w:rsidRDefault="00F80235" w:rsidP="00F80235">
      <w:pPr>
        <w:spacing w:after="0" w:line="480" w:lineRule="auto"/>
        <w:rPr>
          <w:sz w:val="22"/>
          <w:szCs w:val="22"/>
        </w:rPr>
      </w:pPr>
      <w:r w:rsidRPr="00F80235">
        <w:rPr>
          <w:sz w:val="22"/>
          <w:szCs w:val="22"/>
        </w:rPr>
        <w:t>This unit gave me the opportunity to develop my knowledge of probability and understand how different probability distributions can be used when analysing data. The reading by Bader and Leuzinger (2025) covered important statistical concepts, including probability distributions, quantiles, the Central Limit Theorem (CLT), and Type I and Type II errors. I was then able to explore some of these concepts further through the interactive activities provided by the Wolfram Demonstrations Project.</w:t>
      </w:r>
    </w:p>
    <w:p w14:paraId="25FA43B8" w14:textId="77777777" w:rsidR="00F80235" w:rsidRPr="00F80235" w:rsidRDefault="00F80235" w:rsidP="00F80235">
      <w:pPr>
        <w:spacing w:after="0" w:line="480" w:lineRule="auto"/>
        <w:rPr>
          <w:sz w:val="22"/>
          <w:szCs w:val="22"/>
        </w:rPr>
      </w:pPr>
      <w:r w:rsidRPr="00F80235">
        <w:rPr>
          <w:sz w:val="22"/>
          <w:szCs w:val="22"/>
        </w:rPr>
        <w:t>Probability is concerned with the likelihood of an event occurring, while a probability distribution shows the range of possible outcomes and how likely each of those outcomes is (Bader and Leuzinger, 2025). One of the main distinctions I learned was between discrete and continuous distributions. Discrete distributions are used where the possible outcomes can be counted, whereas continuous distributions are more suitable when values can occur anywhere within a given range.</w:t>
      </w:r>
    </w:p>
    <w:p w14:paraId="0D04B6B9" w14:textId="77777777" w:rsidR="00F80235" w:rsidRPr="00F80235" w:rsidRDefault="00F80235" w:rsidP="00F80235">
      <w:pPr>
        <w:spacing w:after="0" w:line="480" w:lineRule="auto"/>
        <w:rPr>
          <w:sz w:val="22"/>
          <w:szCs w:val="22"/>
        </w:rPr>
      </w:pPr>
      <w:r w:rsidRPr="00F80235">
        <w:rPr>
          <w:sz w:val="22"/>
          <w:szCs w:val="22"/>
        </w:rPr>
        <w:t>Through the Wolfram activities, I explored the binomial, Poisson and hypergeometric distributions. The binomial demonstration showed how the expected results can change when the number of trials or likelihood of success is altered (Wolfram Demonstrations Project, n.d.-a). The Poisson activity helped illustrate how probability can be used to consider the occurrence of random events over time or within a particular interval (Wolfram Demonstrations Project, n.d.-b). In comparison, the hypergeometric activity demonstrated what happens when items are selected from a limited population without being replaced (Wolfram Demonstrations Project, n.d.-c). Exploring these examples helped me recognise that distributions may appear similar but are based on different circumstances and assumptions.</w:t>
      </w:r>
    </w:p>
    <w:p w14:paraId="08E298A0" w14:textId="77777777" w:rsidR="00F80235" w:rsidRPr="00F80235" w:rsidRDefault="00F80235" w:rsidP="00F80235">
      <w:pPr>
        <w:spacing w:after="0" w:line="480" w:lineRule="auto"/>
        <w:rPr>
          <w:sz w:val="22"/>
          <w:szCs w:val="22"/>
        </w:rPr>
      </w:pPr>
      <w:r w:rsidRPr="00F80235">
        <w:rPr>
          <w:sz w:val="22"/>
          <w:szCs w:val="22"/>
        </w:rPr>
        <w:t xml:space="preserve">I also investigated the normal, uniform and exponential distributions. Through the normal distribution activity, I could see how changing the values affected the location and spread of the familiar bell-shaped curve (Wolfram Demonstrations Project, n.d.-d). The uniform distribution </w:t>
      </w:r>
      <w:r w:rsidRPr="00F80235">
        <w:rPr>
          <w:sz w:val="22"/>
          <w:szCs w:val="22"/>
        </w:rPr>
        <w:lastRenderedPageBreak/>
        <w:t>was different because it represented an equal probability density across a specified range (Wolfram Demonstrations Project, n.d.-e). The exponential distribution provided an example of how probability can be used to consider the amount of time between events (Wolfram Demonstrations Project, n.d.-f). Being able to manipulate the demonstrations made the differences between these distributions much easier for me to visualise.</w:t>
      </w:r>
    </w:p>
    <w:p w14:paraId="7805D530" w14:textId="77777777" w:rsidR="00F80235" w:rsidRPr="00F80235" w:rsidRDefault="00F80235" w:rsidP="00F80235">
      <w:pPr>
        <w:spacing w:after="0" w:line="480" w:lineRule="auto"/>
        <w:rPr>
          <w:sz w:val="22"/>
          <w:szCs w:val="22"/>
        </w:rPr>
      </w:pPr>
      <w:r w:rsidRPr="00F80235">
        <w:rPr>
          <w:sz w:val="22"/>
          <w:szCs w:val="22"/>
        </w:rPr>
        <w:t>The Newsvendor Model was particularly interesting because it showed how statistical ideas can be applied to a practical problem. The demonstration considers uncertain demand when deciding how much stock or capacity should be available for a short-life-cycle product (Wolfram Demonstrations Project, n.d.-g). This helped me see how probability can contribute to decision-making where the outcome cannot be known with certainty.</w:t>
      </w:r>
    </w:p>
    <w:p w14:paraId="12D092F1" w14:textId="77777777" w:rsidR="00F80235" w:rsidRPr="00F80235" w:rsidRDefault="00F80235" w:rsidP="00F80235">
      <w:pPr>
        <w:spacing w:after="0" w:line="480" w:lineRule="auto"/>
        <w:rPr>
          <w:sz w:val="22"/>
          <w:szCs w:val="22"/>
        </w:rPr>
      </w:pPr>
      <w:r w:rsidRPr="00F80235">
        <w:rPr>
          <w:sz w:val="22"/>
          <w:szCs w:val="22"/>
        </w:rPr>
        <w:t>The reading also helped me understand quantiles and how they can be used to separate ordered data into different sections. For example, quartiles divide observations into four groups, while percentiles divide them into 100. This provides a useful way of understanding where a value sits in relation to the rest of a dataset (Bader and Leuzinger, 2025).</w:t>
      </w:r>
    </w:p>
    <w:p w14:paraId="66A1EECE" w14:textId="77777777" w:rsidR="00F80235" w:rsidRPr="00F80235" w:rsidRDefault="00F80235" w:rsidP="00F80235">
      <w:pPr>
        <w:spacing w:after="0" w:line="480" w:lineRule="auto"/>
        <w:rPr>
          <w:sz w:val="22"/>
          <w:szCs w:val="22"/>
        </w:rPr>
      </w:pPr>
      <w:r w:rsidRPr="00F80235">
        <w:rPr>
          <w:sz w:val="22"/>
          <w:szCs w:val="22"/>
        </w:rPr>
        <w:t>Another concept I found important was the Central Limit Theorem. My understanding is that when sufficiently large samples are repeatedly taken from a population, the distribution of their means tends to become approximately normal, even when the original population does not follow a normal distribution (Bader and Leuzinger, 2025). This helped me understand why normal distributions have such an important role in statistical analysis.</w:t>
      </w:r>
    </w:p>
    <w:p w14:paraId="6D534B12" w14:textId="77777777" w:rsidR="00F80235" w:rsidRPr="00F80235" w:rsidRDefault="00F80235" w:rsidP="00F80235">
      <w:pPr>
        <w:spacing w:after="0" w:line="480" w:lineRule="auto"/>
        <w:rPr>
          <w:sz w:val="22"/>
          <w:szCs w:val="22"/>
        </w:rPr>
      </w:pPr>
      <w:r w:rsidRPr="00F80235">
        <w:rPr>
          <w:sz w:val="22"/>
          <w:szCs w:val="22"/>
        </w:rPr>
        <w:t xml:space="preserve">I also learned about errors that can occur when carrying out hypothesis testing. A Type I error involves rejecting the null hypothesis when it is </w:t>
      </w:r>
      <w:proofErr w:type="gramStart"/>
      <w:r w:rsidRPr="00F80235">
        <w:rPr>
          <w:sz w:val="22"/>
          <w:szCs w:val="22"/>
        </w:rPr>
        <w:t>actually true</w:t>
      </w:r>
      <w:proofErr w:type="gramEnd"/>
      <w:r w:rsidRPr="00F80235">
        <w:rPr>
          <w:sz w:val="22"/>
          <w:szCs w:val="22"/>
        </w:rPr>
        <w:t xml:space="preserve">, while a Type II error involves failing to reject the null hypothesis when it is </w:t>
      </w:r>
      <w:proofErr w:type="gramStart"/>
      <w:r w:rsidRPr="00F80235">
        <w:rPr>
          <w:sz w:val="22"/>
          <w:szCs w:val="22"/>
        </w:rPr>
        <w:t>actually false</w:t>
      </w:r>
      <w:proofErr w:type="gramEnd"/>
      <w:r w:rsidRPr="00F80235">
        <w:rPr>
          <w:sz w:val="22"/>
          <w:szCs w:val="22"/>
        </w:rPr>
        <w:t xml:space="preserve"> (Bader and Leuzinger, 2025). This highlighted that statistical findings contain an element of uncertainty and need to be interpreted carefully.</w:t>
      </w:r>
    </w:p>
    <w:p w14:paraId="1A5F959F" w14:textId="77777777" w:rsidR="00F80235" w:rsidRPr="00F80235" w:rsidRDefault="00F80235" w:rsidP="00F80235">
      <w:pPr>
        <w:spacing w:after="0" w:line="480" w:lineRule="auto"/>
        <w:rPr>
          <w:sz w:val="22"/>
          <w:szCs w:val="22"/>
        </w:rPr>
      </w:pPr>
    </w:p>
    <w:p w14:paraId="2F73E382" w14:textId="0644D9AE" w:rsidR="00F80235" w:rsidRPr="00F80235" w:rsidRDefault="00F80235" w:rsidP="00F80235">
      <w:pPr>
        <w:spacing w:after="0" w:line="480" w:lineRule="auto"/>
        <w:rPr>
          <w:b/>
          <w:bCs/>
          <w:sz w:val="22"/>
          <w:szCs w:val="22"/>
          <w:u w:val="single"/>
        </w:rPr>
      </w:pPr>
      <w:r w:rsidRPr="00F80235">
        <w:rPr>
          <w:b/>
          <w:bCs/>
          <w:sz w:val="22"/>
          <w:szCs w:val="22"/>
          <w:u w:val="single"/>
        </w:rPr>
        <w:t>Reflection</w:t>
      </w:r>
    </w:p>
    <w:p w14:paraId="0BEBB058" w14:textId="77777777" w:rsidR="00F80235" w:rsidRPr="00F80235" w:rsidRDefault="00F80235" w:rsidP="00F80235">
      <w:pPr>
        <w:spacing w:after="0" w:line="480" w:lineRule="auto"/>
        <w:rPr>
          <w:sz w:val="22"/>
          <w:szCs w:val="22"/>
        </w:rPr>
      </w:pPr>
      <w:r w:rsidRPr="00F80235">
        <w:rPr>
          <w:sz w:val="22"/>
          <w:szCs w:val="22"/>
        </w:rPr>
        <w:lastRenderedPageBreak/>
        <w:t>Working through the interactive activities alongside the reading made probability easier for me to understand. Rather than only reading about the different distributions, I was able to adjust the parameters and see how the results changed. This gave me a clearer picture of why different distributions behave differently and why choosing the correct distribution is important when analysing data.</w:t>
      </w:r>
    </w:p>
    <w:p w14:paraId="6BD8E9B2" w14:textId="77777777" w:rsidR="00F80235" w:rsidRPr="00F80235" w:rsidRDefault="00F80235" w:rsidP="00F80235">
      <w:pPr>
        <w:spacing w:after="0" w:line="480" w:lineRule="auto"/>
        <w:rPr>
          <w:sz w:val="22"/>
          <w:szCs w:val="22"/>
        </w:rPr>
      </w:pPr>
      <w:r w:rsidRPr="00F80235">
        <w:rPr>
          <w:sz w:val="22"/>
          <w:szCs w:val="22"/>
        </w:rPr>
        <w:t>A key point I have taken from this unit is that the numbers produced by statistical analysis still require careful interpretation. Before drawing conclusions, it is necessary to consider the type of data being analysed, whether the statistical method is appropriate and the possibility that the result may be affected by statistical error (Bader and Leuzinger, 2025).</w:t>
      </w:r>
    </w:p>
    <w:p w14:paraId="7B8A47AC" w14:textId="77777777" w:rsidR="00F80235" w:rsidRPr="00F80235" w:rsidRDefault="00F80235" w:rsidP="00F80235">
      <w:pPr>
        <w:spacing w:after="0" w:line="480" w:lineRule="auto"/>
        <w:rPr>
          <w:sz w:val="22"/>
          <w:szCs w:val="22"/>
        </w:rPr>
      </w:pPr>
      <w:r w:rsidRPr="00F80235">
        <w:rPr>
          <w:sz w:val="22"/>
          <w:szCs w:val="22"/>
        </w:rPr>
        <w:t>The activities have also helped me understand how these concepts relate to Data Science and AI. Probability provides a way of working with uncertainty rather than assuming that every outcome can be predicted exactly. I can now see more clearly how statistical methods can be used to examine patterns, assess possible outcomes and provide evidence to support decisions. Overall, combining the reading with the practical demonstrations has improved both my understanding of the theory and my ability to consider how it could be applied in practice.</w:t>
      </w:r>
    </w:p>
    <w:p w14:paraId="02EC94FD" w14:textId="77777777" w:rsidR="00F80235" w:rsidRPr="00F80235" w:rsidRDefault="00F80235" w:rsidP="00F80235">
      <w:pPr>
        <w:spacing w:after="0" w:line="480" w:lineRule="auto"/>
        <w:rPr>
          <w:b/>
          <w:bCs/>
          <w:sz w:val="22"/>
          <w:szCs w:val="22"/>
          <w:u w:val="single"/>
        </w:rPr>
      </w:pPr>
      <w:r w:rsidRPr="00F80235">
        <w:rPr>
          <w:b/>
          <w:bCs/>
          <w:sz w:val="22"/>
          <w:szCs w:val="22"/>
          <w:u w:val="single"/>
        </w:rPr>
        <w:t>References</w:t>
      </w:r>
    </w:p>
    <w:p w14:paraId="491C58FE" w14:textId="77777777" w:rsidR="00F80235" w:rsidRPr="00F80235" w:rsidRDefault="00F80235" w:rsidP="00F80235">
      <w:pPr>
        <w:pStyle w:val="ListParagraph"/>
        <w:numPr>
          <w:ilvl w:val="0"/>
          <w:numId w:val="2"/>
        </w:numPr>
        <w:spacing w:after="0" w:line="480" w:lineRule="auto"/>
        <w:rPr>
          <w:sz w:val="22"/>
          <w:szCs w:val="22"/>
        </w:rPr>
      </w:pPr>
      <w:r w:rsidRPr="00F80235">
        <w:rPr>
          <w:sz w:val="22"/>
          <w:szCs w:val="22"/>
        </w:rPr>
        <w:t xml:space="preserve">Bader, M. and Leuzinger, S. (2025) </w:t>
      </w:r>
      <w:r w:rsidRPr="00F80235">
        <w:rPr>
          <w:i/>
          <w:iCs/>
          <w:sz w:val="22"/>
          <w:szCs w:val="22"/>
        </w:rPr>
        <w:t>R-</w:t>
      </w:r>
      <w:proofErr w:type="spellStart"/>
      <w:r w:rsidRPr="00F80235">
        <w:rPr>
          <w:i/>
          <w:iCs/>
          <w:sz w:val="22"/>
          <w:szCs w:val="22"/>
        </w:rPr>
        <w:t>ticulate</w:t>
      </w:r>
      <w:proofErr w:type="spellEnd"/>
      <w:r w:rsidRPr="00F80235">
        <w:rPr>
          <w:i/>
          <w:iCs/>
          <w:sz w:val="22"/>
          <w:szCs w:val="22"/>
        </w:rPr>
        <w:t>: A Beginner’s Guide to Data Analysis for Natural Scientists</w:t>
      </w:r>
      <w:r w:rsidRPr="00F80235">
        <w:rPr>
          <w:sz w:val="22"/>
          <w:szCs w:val="22"/>
        </w:rPr>
        <w:t>. 1st edn. Hoboken, NJ: Wiley.</w:t>
      </w:r>
    </w:p>
    <w:p w14:paraId="5F8EF31F" w14:textId="77777777" w:rsidR="00F80235" w:rsidRPr="00F80235" w:rsidRDefault="00F80235" w:rsidP="00F80235">
      <w:pPr>
        <w:pStyle w:val="ListParagraph"/>
        <w:numPr>
          <w:ilvl w:val="0"/>
          <w:numId w:val="2"/>
        </w:numPr>
        <w:spacing w:after="0" w:line="480" w:lineRule="auto"/>
        <w:rPr>
          <w:sz w:val="22"/>
          <w:szCs w:val="22"/>
        </w:rPr>
      </w:pPr>
      <w:r w:rsidRPr="00F80235">
        <w:rPr>
          <w:sz w:val="22"/>
          <w:szCs w:val="22"/>
        </w:rPr>
        <w:t xml:space="preserve">The Organic Chemistry Tutor (2019) </w:t>
      </w:r>
      <w:r w:rsidRPr="00F80235">
        <w:rPr>
          <w:i/>
          <w:iCs/>
          <w:sz w:val="22"/>
          <w:szCs w:val="22"/>
        </w:rPr>
        <w:t>Multiplication &amp; Addition Rule – Probability – Mutually Exclusive &amp; Independent Events</w:t>
      </w:r>
      <w:r w:rsidRPr="00F80235">
        <w:rPr>
          <w:sz w:val="22"/>
          <w:szCs w:val="22"/>
        </w:rPr>
        <w:t>. 31 March. Available at: YouTube (Accessed: 9 August 2026).</w:t>
      </w:r>
    </w:p>
    <w:p w14:paraId="0A11DDDB" w14:textId="77777777" w:rsidR="00F80235" w:rsidRPr="00F80235" w:rsidRDefault="00F80235" w:rsidP="00F80235">
      <w:pPr>
        <w:pStyle w:val="ListParagraph"/>
        <w:numPr>
          <w:ilvl w:val="0"/>
          <w:numId w:val="2"/>
        </w:numPr>
        <w:spacing w:after="0" w:line="480" w:lineRule="auto"/>
        <w:rPr>
          <w:sz w:val="22"/>
          <w:szCs w:val="22"/>
        </w:rPr>
      </w:pPr>
      <w:r w:rsidRPr="00F80235">
        <w:rPr>
          <w:sz w:val="22"/>
          <w:szCs w:val="22"/>
        </w:rPr>
        <w:t xml:space="preserve">Wolfram Demonstrations Project (n.d.-a) </w:t>
      </w:r>
      <w:r w:rsidRPr="00F80235">
        <w:rPr>
          <w:i/>
          <w:iCs/>
          <w:sz w:val="22"/>
          <w:szCs w:val="22"/>
        </w:rPr>
        <w:t>Binomial Distribution</w:t>
      </w:r>
      <w:r w:rsidRPr="00F80235">
        <w:rPr>
          <w:sz w:val="22"/>
          <w:szCs w:val="22"/>
        </w:rPr>
        <w:t xml:space="preserve">. Wolfram Research. Available at: </w:t>
      </w:r>
      <w:hyperlink r:id="rId5" w:history="1">
        <w:r w:rsidRPr="00F80235">
          <w:rPr>
            <w:rStyle w:val="Hyperlink"/>
            <w:sz w:val="22"/>
            <w:szCs w:val="22"/>
          </w:rPr>
          <w:t>https://demonstrations.wolfram.com/BinomialDistribution/</w:t>
        </w:r>
      </w:hyperlink>
      <w:r w:rsidRPr="00F80235">
        <w:rPr>
          <w:sz w:val="22"/>
          <w:szCs w:val="22"/>
        </w:rPr>
        <w:t xml:space="preserve"> (Accessed: 9 August 2026).</w:t>
      </w:r>
    </w:p>
    <w:p w14:paraId="6A78DC1E" w14:textId="77777777" w:rsidR="00F80235" w:rsidRPr="00F80235" w:rsidRDefault="00F80235" w:rsidP="00F80235">
      <w:pPr>
        <w:pStyle w:val="ListParagraph"/>
        <w:numPr>
          <w:ilvl w:val="0"/>
          <w:numId w:val="2"/>
        </w:numPr>
        <w:spacing w:after="0" w:line="480" w:lineRule="auto"/>
        <w:rPr>
          <w:sz w:val="22"/>
          <w:szCs w:val="22"/>
        </w:rPr>
      </w:pPr>
      <w:r w:rsidRPr="00F80235">
        <w:rPr>
          <w:sz w:val="22"/>
          <w:szCs w:val="22"/>
        </w:rPr>
        <w:t xml:space="preserve">Wolfram Demonstrations Project (n.d.-b) </w:t>
      </w:r>
      <w:r w:rsidRPr="00F80235">
        <w:rPr>
          <w:i/>
          <w:iCs/>
          <w:sz w:val="22"/>
          <w:szCs w:val="22"/>
        </w:rPr>
        <w:t>Simulating the Poisson Process</w:t>
      </w:r>
      <w:r w:rsidRPr="00F80235">
        <w:rPr>
          <w:sz w:val="22"/>
          <w:szCs w:val="22"/>
        </w:rPr>
        <w:t xml:space="preserve">. Wolfram Research. Available at: </w:t>
      </w:r>
      <w:hyperlink r:id="rId6" w:history="1">
        <w:r w:rsidRPr="00F80235">
          <w:rPr>
            <w:rStyle w:val="Hyperlink"/>
            <w:sz w:val="22"/>
            <w:szCs w:val="22"/>
          </w:rPr>
          <w:t>https://demonstrations.wolfram.com/SimulatingThePoissonProcess/</w:t>
        </w:r>
      </w:hyperlink>
      <w:r w:rsidRPr="00F80235">
        <w:rPr>
          <w:sz w:val="22"/>
          <w:szCs w:val="22"/>
        </w:rPr>
        <w:t xml:space="preserve"> (Accessed: 9 August 2026).</w:t>
      </w:r>
    </w:p>
    <w:p w14:paraId="39A168A1" w14:textId="77777777" w:rsidR="00F80235" w:rsidRPr="00F80235" w:rsidRDefault="00F80235" w:rsidP="00F80235">
      <w:pPr>
        <w:pStyle w:val="ListParagraph"/>
        <w:numPr>
          <w:ilvl w:val="0"/>
          <w:numId w:val="2"/>
        </w:numPr>
        <w:spacing w:after="0" w:line="480" w:lineRule="auto"/>
        <w:rPr>
          <w:sz w:val="22"/>
          <w:szCs w:val="22"/>
        </w:rPr>
      </w:pPr>
      <w:r w:rsidRPr="00F80235">
        <w:rPr>
          <w:sz w:val="22"/>
          <w:szCs w:val="22"/>
        </w:rPr>
        <w:t xml:space="preserve">Wolfram Demonstrations Project (n.d.-c) </w:t>
      </w:r>
      <w:r w:rsidRPr="00F80235">
        <w:rPr>
          <w:i/>
          <w:iCs/>
          <w:sz w:val="22"/>
          <w:szCs w:val="22"/>
        </w:rPr>
        <w:t>The Hypergeometric Distribution</w:t>
      </w:r>
      <w:r w:rsidRPr="00F80235">
        <w:rPr>
          <w:sz w:val="22"/>
          <w:szCs w:val="22"/>
        </w:rPr>
        <w:t xml:space="preserve">. Wolfram Research. Available at: </w:t>
      </w:r>
      <w:hyperlink r:id="rId7" w:history="1">
        <w:r w:rsidRPr="00F80235">
          <w:rPr>
            <w:rStyle w:val="Hyperlink"/>
            <w:sz w:val="22"/>
            <w:szCs w:val="22"/>
          </w:rPr>
          <w:t>https://demonstrations.wolfram.com/TheHypergeometricDistribution/</w:t>
        </w:r>
      </w:hyperlink>
      <w:r w:rsidRPr="00F80235">
        <w:rPr>
          <w:sz w:val="22"/>
          <w:szCs w:val="22"/>
        </w:rPr>
        <w:t xml:space="preserve"> (Accessed: 9 August 2026).</w:t>
      </w:r>
    </w:p>
    <w:p w14:paraId="0037BA64" w14:textId="77777777" w:rsidR="00F80235" w:rsidRPr="00F80235" w:rsidRDefault="00F80235" w:rsidP="00F80235">
      <w:pPr>
        <w:pStyle w:val="ListParagraph"/>
        <w:numPr>
          <w:ilvl w:val="0"/>
          <w:numId w:val="2"/>
        </w:numPr>
        <w:spacing w:after="0" w:line="480" w:lineRule="auto"/>
        <w:rPr>
          <w:sz w:val="22"/>
          <w:szCs w:val="22"/>
        </w:rPr>
      </w:pPr>
      <w:r w:rsidRPr="00F80235">
        <w:rPr>
          <w:sz w:val="22"/>
          <w:szCs w:val="22"/>
        </w:rPr>
        <w:t xml:space="preserve">Wolfram Demonstrations Project (n.d.-d) </w:t>
      </w:r>
      <w:r w:rsidRPr="00F80235">
        <w:rPr>
          <w:i/>
          <w:iCs/>
          <w:sz w:val="22"/>
          <w:szCs w:val="22"/>
        </w:rPr>
        <w:t>The Normal Distribution</w:t>
      </w:r>
      <w:r w:rsidRPr="00F80235">
        <w:rPr>
          <w:sz w:val="22"/>
          <w:szCs w:val="22"/>
        </w:rPr>
        <w:t xml:space="preserve">. Wolfram Research. Available at: </w:t>
      </w:r>
      <w:hyperlink r:id="rId8" w:history="1">
        <w:r w:rsidRPr="00F80235">
          <w:rPr>
            <w:rStyle w:val="Hyperlink"/>
            <w:sz w:val="22"/>
            <w:szCs w:val="22"/>
          </w:rPr>
          <w:t>https://demonstrations.wolfram.com/TheNormalDistribution/</w:t>
        </w:r>
      </w:hyperlink>
      <w:r w:rsidRPr="00F80235">
        <w:rPr>
          <w:sz w:val="22"/>
          <w:szCs w:val="22"/>
        </w:rPr>
        <w:t xml:space="preserve"> (Accessed: 9 August 2026).</w:t>
      </w:r>
    </w:p>
    <w:p w14:paraId="74F62FE5" w14:textId="77777777" w:rsidR="00F80235" w:rsidRPr="00F80235" w:rsidRDefault="00F80235" w:rsidP="00F80235">
      <w:pPr>
        <w:pStyle w:val="ListParagraph"/>
        <w:numPr>
          <w:ilvl w:val="0"/>
          <w:numId w:val="2"/>
        </w:numPr>
        <w:spacing w:after="0" w:line="480" w:lineRule="auto"/>
        <w:rPr>
          <w:sz w:val="22"/>
          <w:szCs w:val="22"/>
        </w:rPr>
      </w:pPr>
      <w:r w:rsidRPr="00F80235">
        <w:rPr>
          <w:sz w:val="22"/>
          <w:szCs w:val="22"/>
        </w:rPr>
        <w:t xml:space="preserve">Wolfram Demonstrations Project (n.d.-e) </w:t>
      </w:r>
      <w:r w:rsidRPr="00F80235">
        <w:rPr>
          <w:i/>
          <w:iCs/>
          <w:sz w:val="22"/>
          <w:szCs w:val="22"/>
        </w:rPr>
        <w:t>The Continuous Uniform Distribution</w:t>
      </w:r>
      <w:r w:rsidRPr="00F80235">
        <w:rPr>
          <w:sz w:val="22"/>
          <w:szCs w:val="22"/>
        </w:rPr>
        <w:t xml:space="preserve">. Wolfram Research. Available at: </w:t>
      </w:r>
      <w:hyperlink r:id="rId9" w:history="1">
        <w:r w:rsidRPr="00F80235">
          <w:rPr>
            <w:rStyle w:val="Hyperlink"/>
            <w:sz w:val="22"/>
            <w:szCs w:val="22"/>
          </w:rPr>
          <w:t>https://demonstrations.wolfram.com/TheContinuousUniformDistribution/</w:t>
        </w:r>
      </w:hyperlink>
      <w:r w:rsidRPr="00F80235">
        <w:rPr>
          <w:sz w:val="22"/>
          <w:szCs w:val="22"/>
        </w:rPr>
        <w:t xml:space="preserve"> (Accessed: 9 August 2026).</w:t>
      </w:r>
    </w:p>
    <w:p w14:paraId="23984C6C" w14:textId="77777777" w:rsidR="00F80235" w:rsidRPr="00F80235" w:rsidRDefault="00F80235" w:rsidP="00F80235">
      <w:pPr>
        <w:pStyle w:val="ListParagraph"/>
        <w:numPr>
          <w:ilvl w:val="0"/>
          <w:numId w:val="2"/>
        </w:numPr>
        <w:spacing w:after="0" w:line="480" w:lineRule="auto"/>
        <w:rPr>
          <w:sz w:val="22"/>
          <w:szCs w:val="22"/>
        </w:rPr>
      </w:pPr>
      <w:r w:rsidRPr="00F80235">
        <w:rPr>
          <w:sz w:val="22"/>
          <w:szCs w:val="22"/>
        </w:rPr>
        <w:t xml:space="preserve">Wolfram Demonstrations Project (n.d.-f) </w:t>
      </w:r>
      <w:r w:rsidRPr="00F80235">
        <w:rPr>
          <w:i/>
          <w:iCs/>
          <w:sz w:val="22"/>
          <w:szCs w:val="22"/>
        </w:rPr>
        <w:t>The Exponential Distribution</w:t>
      </w:r>
      <w:r w:rsidRPr="00F80235">
        <w:rPr>
          <w:sz w:val="22"/>
          <w:szCs w:val="22"/>
        </w:rPr>
        <w:t xml:space="preserve">. Wolfram Research. Available at: </w:t>
      </w:r>
      <w:hyperlink r:id="rId10" w:history="1">
        <w:r w:rsidRPr="00F80235">
          <w:rPr>
            <w:rStyle w:val="Hyperlink"/>
            <w:sz w:val="22"/>
            <w:szCs w:val="22"/>
          </w:rPr>
          <w:t>https://demonstrations.wolfram.com/TheExponentialDistribution/</w:t>
        </w:r>
      </w:hyperlink>
      <w:r w:rsidRPr="00F80235">
        <w:rPr>
          <w:sz w:val="22"/>
          <w:szCs w:val="22"/>
        </w:rPr>
        <w:t xml:space="preserve"> (Accessed: 9 August 2026).</w:t>
      </w:r>
    </w:p>
    <w:p w14:paraId="24B88036" w14:textId="77777777" w:rsidR="00F80235" w:rsidRPr="00F80235" w:rsidRDefault="00F80235" w:rsidP="00F80235">
      <w:pPr>
        <w:pStyle w:val="ListParagraph"/>
        <w:numPr>
          <w:ilvl w:val="0"/>
          <w:numId w:val="2"/>
        </w:numPr>
        <w:spacing w:after="0" w:line="480" w:lineRule="auto"/>
        <w:rPr>
          <w:sz w:val="22"/>
          <w:szCs w:val="22"/>
        </w:rPr>
      </w:pPr>
      <w:r w:rsidRPr="00F80235">
        <w:rPr>
          <w:sz w:val="22"/>
          <w:szCs w:val="22"/>
        </w:rPr>
        <w:t xml:space="preserve">Wolfram Demonstrations Project (n.d.-g) </w:t>
      </w:r>
      <w:r w:rsidRPr="00F80235">
        <w:rPr>
          <w:i/>
          <w:iCs/>
          <w:sz w:val="22"/>
          <w:szCs w:val="22"/>
        </w:rPr>
        <w:t>Capacity Planning for Short Life-Cycle Products: The Newsvendor Model</w:t>
      </w:r>
      <w:r w:rsidRPr="00F80235">
        <w:rPr>
          <w:sz w:val="22"/>
          <w:szCs w:val="22"/>
        </w:rPr>
        <w:t xml:space="preserve">. Wolfram Research. Available at: </w:t>
      </w:r>
      <w:hyperlink r:id="rId11" w:history="1">
        <w:r w:rsidRPr="00F80235">
          <w:rPr>
            <w:rStyle w:val="Hyperlink"/>
            <w:sz w:val="22"/>
            <w:szCs w:val="22"/>
          </w:rPr>
          <w:t>https://demonstrations.wolfram.com/CapacityPlanningForShortLifeCycleProductsTheNewsvendorModel/</w:t>
        </w:r>
      </w:hyperlink>
      <w:r w:rsidRPr="00F80235">
        <w:rPr>
          <w:sz w:val="22"/>
          <w:szCs w:val="22"/>
        </w:rPr>
        <w:t xml:space="preserve"> (Accessed: 9 August 2026).</w:t>
      </w:r>
    </w:p>
    <w:p w14:paraId="449DC8DA" w14:textId="77777777" w:rsidR="00DF5AC5" w:rsidRPr="00F80235" w:rsidRDefault="00DF5AC5" w:rsidP="00F80235">
      <w:pPr>
        <w:spacing w:after="0" w:line="480" w:lineRule="auto"/>
        <w:rPr>
          <w:sz w:val="22"/>
          <w:szCs w:val="22"/>
        </w:rPr>
      </w:pPr>
    </w:p>
    <w:sectPr w:rsidR="00DF5AC5" w:rsidRPr="00F80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E446A"/>
    <w:multiLevelType w:val="hybridMultilevel"/>
    <w:tmpl w:val="BE7C2E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5855D8E"/>
    <w:multiLevelType w:val="hybridMultilevel"/>
    <w:tmpl w:val="C4B624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62931565">
    <w:abstractNumId w:val="0"/>
  </w:num>
  <w:num w:numId="2" w16cid:durableId="1856260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98"/>
    <w:rsid w:val="000A379E"/>
    <w:rsid w:val="000C6263"/>
    <w:rsid w:val="00377B8D"/>
    <w:rsid w:val="00725998"/>
    <w:rsid w:val="00C505D3"/>
    <w:rsid w:val="00DF5AC5"/>
    <w:rsid w:val="00F802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6C412"/>
  <w15:chartTrackingRefBased/>
  <w15:docId w15:val="{D76B863A-CC89-44AF-AD47-DAFB6D85E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5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5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998"/>
    <w:rPr>
      <w:rFonts w:eastAsiaTheme="majorEastAsia" w:cstheme="majorBidi"/>
      <w:color w:val="272727" w:themeColor="text1" w:themeTint="D8"/>
    </w:rPr>
  </w:style>
  <w:style w:type="paragraph" w:styleId="Title">
    <w:name w:val="Title"/>
    <w:basedOn w:val="Normal"/>
    <w:next w:val="Normal"/>
    <w:link w:val="TitleChar"/>
    <w:uiPriority w:val="10"/>
    <w:qFormat/>
    <w:rsid w:val="00725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998"/>
    <w:pPr>
      <w:spacing w:before="160"/>
      <w:jc w:val="center"/>
    </w:pPr>
    <w:rPr>
      <w:i/>
      <w:iCs/>
      <w:color w:val="404040" w:themeColor="text1" w:themeTint="BF"/>
    </w:rPr>
  </w:style>
  <w:style w:type="character" w:customStyle="1" w:styleId="QuoteChar">
    <w:name w:val="Quote Char"/>
    <w:basedOn w:val="DefaultParagraphFont"/>
    <w:link w:val="Quote"/>
    <w:uiPriority w:val="29"/>
    <w:rsid w:val="00725998"/>
    <w:rPr>
      <w:i/>
      <w:iCs/>
      <w:color w:val="404040" w:themeColor="text1" w:themeTint="BF"/>
    </w:rPr>
  </w:style>
  <w:style w:type="paragraph" w:styleId="ListParagraph">
    <w:name w:val="List Paragraph"/>
    <w:basedOn w:val="Normal"/>
    <w:uiPriority w:val="34"/>
    <w:qFormat/>
    <w:rsid w:val="00725998"/>
    <w:pPr>
      <w:ind w:left="720"/>
      <w:contextualSpacing/>
    </w:pPr>
  </w:style>
  <w:style w:type="character" w:styleId="IntenseEmphasis">
    <w:name w:val="Intense Emphasis"/>
    <w:basedOn w:val="DefaultParagraphFont"/>
    <w:uiPriority w:val="21"/>
    <w:qFormat/>
    <w:rsid w:val="00725998"/>
    <w:rPr>
      <w:i/>
      <w:iCs/>
      <w:color w:val="0F4761" w:themeColor="accent1" w:themeShade="BF"/>
    </w:rPr>
  </w:style>
  <w:style w:type="paragraph" w:styleId="IntenseQuote">
    <w:name w:val="Intense Quote"/>
    <w:basedOn w:val="Normal"/>
    <w:next w:val="Normal"/>
    <w:link w:val="IntenseQuoteChar"/>
    <w:uiPriority w:val="30"/>
    <w:qFormat/>
    <w:rsid w:val="00725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998"/>
    <w:rPr>
      <w:i/>
      <w:iCs/>
      <w:color w:val="0F4761" w:themeColor="accent1" w:themeShade="BF"/>
    </w:rPr>
  </w:style>
  <w:style w:type="character" w:styleId="IntenseReference">
    <w:name w:val="Intense Reference"/>
    <w:basedOn w:val="DefaultParagraphFont"/>
    <w:uiPriority w:val="32"/>
    <w:qFormat/>
    <w:rsid w:val="00725998"/>
    <w:rPr>
      <w:b/>
      <w:bCs/>
      <w:smallCaps/>
      <w:color w:val="0F4761" w:themeColor="accent1" w:themeShade="BF"/>
      <w:spacing w:val="5"/>
    </w:rPr>
  </w:style>
  <w:style w:type="character" w:styleId="Hyperlink">
    <w:name w:val="Hyperlink"/>
    <w:basedOn w:val="DefaultParagraphFont"/>
    <w:uiPriority w:val="99"/>
    <w:unhideWhenUsed/>
    <w:rsid w:val="00F80235"/>
    <w:rPr>
      <w:color w:val="467886" w:themeColor="hyperlink"/>
      <w:u w:val="single"/>
    </w:rPr>
  </w:style>
  <w:style w:type="character" w:styleId="UnresolvedMention">
    <w:name w:val="Unresolved Mention"/>
    <w:basedOn w:val="DefaultParagraphFont"/>
    <w:uiPriority w:val="99"/>
    <w:semiHidden/>
    <w:unhideWhenUsed/>
    <w:rsid w:val="00F802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nstrations.wolfram.com/TheNormalDistribu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monstrations.wolfram.com/TheHypergeometricDistribu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monstrations.wolfram.com/SimulatingThePoissonProcess/" TargetMode="External"/><Relationship Id="rId11" Type="http://schemas.openxmlformats.org/officeDocument/2006/relationships/hyperlink" Target="https://demonstrations.wolfram.com/CapacityPlanningForShortLifeCycleProductsTheNewsvendorModel/" TargetMode="External"/><Relationship Id="rId5" Type="http://schemas.openxmlformats.org/officeDocument/2006/relationships/hyperlink" Target="https://demonstrations.wolfram.com/BinomialDistribution/" TargetMode="External"/><Relationship Id="rId10" Type="http://schemas.openxmlformats.org/officeDocument/2006/relationships/hyperlink" Target="https://demonstrations.wolfram.com/TheExponentialDistribution/" TargetMode="External"/><Relationship Id="rId4" Type="http://schemas.openxmlformats.org/officeDocument/2006/relationships/webSettings" Target="webSettings.xml"/><Relationship Id="rId9" Type="http://schemas.openxmlformats.org/officeDocument/2006/relationships/hyperlink" Target="https://demonstrations.wolfram.com/TheContinuousUniformDistrib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1083</Words>
  <Characters>6758</Characters>
  <Application>Microsoft Office Word</Application>
  <DocSecurity>0</DocSecurity>
  <Lines>99</Lines>
  <Paragraphs>32</Paragraphs>
  <ScaleCrop>false</ScaleCrop>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5</cp:revision>
  <dcterms:created xsi:type="dcterms:W3CDTF">2026-08-09T14:01:00Z</dcterms:created>
  <dcterms:modified xsi:type="dcterms:W3CDTF">2026-08-09T14:32:00Z</dcterms:modified>
</cp:coreProperties>
</file>