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B5BF9" w14:textId="77777777" w:rsidR="002671CF" w:rsidRPr="002671CF" w:rsidRDefault="002671CF" w:rsidP="002671CF">
      <w:pPr>
        <w:spacing w:after="0" w:line="480" w:lineRule="auto"/>
        <w:rPr>
          <w:b/>
          <w:bCs/>
          <w:sz w:val="22"/>
          <w:szCs w:val="22"/>
          <w:u w:val="single"/>
        </w:rPr>
      </w:pPr>
      <w:r w:rsidRPr="002671CF">
        <w:rPr>
          <w:b/>
          <w:bCs/>
          <w:sz w:val="22"/>
          <w:szCs w:val="22"/>
          <w:u w:val="single"/>
        </w:rPr>
        <w:t xml:space="preserve">Peer Response </w:t>
      </w:r>
      <w:r w:rsidRPr="002671CF">
        <w:rPr>
          <w:b/>
          <w:bCs/>
          <w:sz w:val="22"/>
          <w:szCs w:val="22"/>
          <w:u w:val="single"/>
        </w:rPr>
        <w:t>1</w:t>
      </w:r>
    </w:p>
    <w:p w14:paraId="061FEBDD" w14:textId="571AFE11" w:rsidR="002671CF" w:rsidRPr="002671CF" w:rsidRDefault="002671CF" w:rsidP="002671CF">
      <w:pPr>
        <w:spacing w:after="0" w:line="480" w:lineRule="auto"/>
        <w:rPr>
          <w:sz w:val="22"/>
          <w:szCs w:val="22"/>
        </w:rPr>
      </w:pPr>
      <w:r w:rsidRPr="002671CF">
        <w:rPr>
          <w:sz w:val="22"/>
          <w:szCs w:val="22"/>
        </w:rPr>
        <w:t>Hi Rebekah,</w:t>
      </w:r>
      <w:r w:rsidRPr="002671CF">
        <w:rPr>
          <w:sz w:val="22"/>
          <w:szCs w:val="22"/>
        </w:rPr>
        <w:br/>
        <w:t>Your post provides a clear and well-supported discussion of the importance of data quality within IoT environments. I particularly liked how you moved beyond Huxley (2020) by considering the increasing complexity of IoT data and the limitations of traditional data cleaning methods. The use of current literature strengthens your argument and demonstrates a good understanding of the challenges associated with large-scale data management.</w:t>
      </w:r>
      <w:r w:rsidRPr="002671CF">
        <w:rPr>
          <w:sz w:val="22"/>
          <w:szCs w:val="22"/>
        </w:rPr>
        <w:br/>
        <w:t xml:space="preserve">To strengthen your discussion further, you could expand on the preventative measures that organisations can implement to reduce the risks you identify. Whilst you explain the consequences of poor data quality and security vulnerabilities, there is less emphasis on how these issues could be prevented. For example, organisations could implement automated data validation, continuous monitoring of IoT devices, encryption, multi-factor authentication, and regular firmware updates to reduce the likelihood of data corruption or unauthorised access (Cawthra et al., 2020; </w:t>
      </w:r>
      <w:proofErr w:type="spellStart"/>
      <w:r w:rsidRPr="002671CF">
        <w:rPr>
          <w:sz w:val="22"/>
          <w:szCs w:val="22"/>
        </w:rPr>
        <w:t>Taherdoost</w:t>
      </w:r>
      <w:proofErr w:type="spellEnd"/>
      <w:r w:rsidRPr="002671CF">
        <w:rPr>
          <w:sz w:val="22"/>
          <w:szCs w:val="22"/>
        </w:rPr>
        <w:t>, 2023). AI-driven anomaly detection could also help identify inaccurate or suspicious data before it enters the analysis process (Mansouri et al., 2023).</w:t>
      </w:r>
      <w:r w:rsidRPr="002671CF">
        <w:rPr>
          <w:sz w:val="22"/>
          <w:szCs w:val="22"/>
        </w:rPr>
        <w:br/>
        <w:t>I also wondered whether greater emphasis could be placed on data governance. Would introducing governance frameworks or data quality standards at the point of data collection reduce the reliance on data cleaning later in the process? Exploring this perspective could strengthen your critical evaluation by demonstrating that maintaining data quality requires both preventative controls and effective cleaning processes.</w:t>
      </w:r>
      <w:r w:rsidRPr="002671CF">
        <w:rPr>
          <w:sz w:val="22"/>
          <w:szCs w:val="22"/>
        </w:rPr>
        <w:br/>
        <w:t>Overall, this is a well-structured discussion supported by relevant evidence. Expanding the discussion of preventative strategies would provide a more comprehensive response to the question and further strengthen your critical analysis.</w:t>
      </w:r>
      <w:r w:rsidRPr="002671CF">
        <w:rPr>
          <w:sz w:val="22"/>
          <w:szCs w:val="22"/>
        </w:rPr>
        <w:br/>
      </w:r>
      <w:r w:rsidRPr="002671CF">
        <w:rPr>
          <w:sz w:val="22"/>
          <w:szCs w:val="22"/>
        </w:rPr>
        <w:br/>
      </w:r>
      <w:r w:rsidRPr="002671CF">
        <w:rPr>
          <w:b/>
          <w:bCs/>
          <w:sz w:val="22"/>
          <w:szCs w:val="22"/>
          <w:u w:val="single"/>
        </w:rPr>
        <w:t>References</w:t>
      </w:r>
      <w:r w:rsidRPr="002671CF">
        <w:rPr>
          <w:sz w:val="22"/>
          <w:szCs w:val="22"/>
        </w:rPr>
        <w:br/>
      </w:r>
      <w:r>
        <w:rPr>
          <w:sz w:val="22"/>
          <w:szCs w:val="22"/>
        </w:rPr>
        <w:t xml:space="preserve">1) </w:t>
      </w:r>
      <w:r w:rsidRPr="002671CF">
        <w:rPr>
          <w:sz w:val="22"/>
          <w:szCs w:val="22"/>
        </w:rPr>
        <w:t xml:space="preserve">Cawthra, J. et al. (2020) 'Cyber security risks for the IoT: Mapping the recent developments', </w:t>
      </w:r>
      <w:r w:rsidRPr="002671CF">
        <w:rPr>
          <w:sz w:val="22"/>
          <w:szCs w:val="22"/>
        </w:rPr>
        <w:lastRenderedPageBreak/>
        <w:t>Journal of Information Security and Applications, 57, p. 102735.</w:t>
      </w:r>
      <w:r w:rsidRPr="002671CF">
        <w:rPr>
          <w:sz w:val="22"/>
          <w:szCs w:val="22"/>
        </w:rPr>
        <w:br/>
      </w:r>
      <w:r>
        <w:rPr>
          <w:sz w:val="22"/>
          <w:szCs w:val="22"/>
        </w:rPr>
        <w:t xml:space="preserve">2) </w:t>
      </w:r>
      <w:r w:rsidRPr="002671CF">
        <w:rPr>
          <w:sz w:val="22"/>
          <w:szCs w:val="22"/>
        </w:rPr>
        <w:t>Huxley, K. (2020) 'Data cleaning', in Atkinson, P. et al. (eds) SAGE Research Methods Foundations. London: SAGE Publications Ltd. Available at: https://doi.org/10.4135/9781526421036842861.</w:t>
      </w:r>
      <w:r w:rsidRPr="002671CF">
        <w:rPr>
          <w:sz w:val="22"/>
          <w:szCs w:val="22"/>
        </w:rPr>
        <w:br/>
      </w:r>
      <w:r>
        <w:rPr>
          <w:sz w:val="22"/>
          <w:szCs w:val="22"/>
        </w:rPr>
        <w:t xml:space="preserve">3) </w:t>
      </w:r>
      <w:r w:rsidRPr="002671CF">
        <w:rPr>
          <w:sz w:val="22"/>
          <w:szCs w:val="22"/>
        </w:rPr>
        <w:t>Mansouri, T. et al. (2023) 'IoT Data Quality Issues and Potential Solutions: A Literature Review', The Computer Journal, 66(3), pp. 615–625. Available at: https://doi.org/10.1093/comjnl/bxab183</w:t>
      </w:r>
    </w:p>
    <w:p w14:paraId="11A83615" w14:textId="04C2EA08" w:rsidR="002671CF" w:rsidRPr="002671CF" w:rsidRDefault="002671CF" w:rsidP="002671CF">
      <w:pPr>
        <w:spacing w:after="0" w:line="480" w:lineRule="auto"/>
        <w:rPr>
          <w:sz w:val="22"/>
          <w:szCs w:val="22"/>
        </w:rPr>
      </w:pPr>
      <w:r>
        <w:rPr>
          <w:sz w:val="22"/>
          <w:szCs w:val="22"/>
        </w:rPr>
        <w:t xml:space="preserve">4) </w:t>
      </w:r>
      <w:proofErr w:type="spellStart"/>
      <w:r w:rsidRPr="002671CF">
        <w:rPr>
          <w:sz w:val="22"/>
          <w:szCs w:val="22"/>
        </w:rPr>
        <w:t>Taherdoost</w:t>
      </w:r>
      <w:proofErr w:type="spellEnd"/>
      <w:r w:rsidRPr="002671CF">
        <w:rPr>
          <w:sz w:val="22"/>
          <w:szCs w:val="22"/>
        </w:rPr>
        <w:t>, H. (2023) 'Security and Internet of Things: Benefits, Challenges, and Future Perspectives', </w:t>
      </w:r>
      <w:r w:rsidRPr="002671CF">
        <w:rPr>
          <w:i/>
          <w:iCs/>
          <w:sz w:val="22"/>
          <w:szCs w:val="22"/>
        </w:rPr>
        <w:t>Electronics</w:t>
      </w:r>
      <w:r w:rsidRPr="002671CF">
        <w:rPr>
          <w:sz w:val="22"/>
          <w:szCs w:val="22"/>
        </w:rPr>
        <w:t>, 12(8), pp. 1–22. Available at: </w:t>
      </w:r>
      <w:hyperlink r:id="rId5" w:history="1">
        <w:r w:rsidRPr="002671CF">
          <w:rPr>
            <w:rStyle w:val="Hyperlink"/>
            <w:sz w:val="22"/>
            <w:szCs w:val="22"/>
          </w:rPr>
          <w:t>https://doi.org/10.3390/electronics12081901</w:t>
        </w:r>
      </w:hyperlink>
      <w:r w:rsidRPr="002671CF">
        <w:rPr>
          <w:sz w:val="22"/>
          <w:szCs w:val="22"/>
        </w:rPr>
        <w:t>.</w:t>
      </w:r>
    </w:p>
    <w:p w14:paraId="13622AFC" w14:textId="51A10611" w:rsidR="002671CF" w:rsidRPr="002671CF" w:rsidRDefault="002671CF" w:rsidP="002671CF">
      <w:pPr>
        <w:spacing w:after="0" w:line="480" w:lineRule="auto"/>
        <w:rPr>
          <w:sz w:val="22"/>
          <w:szCs w:val="22"/>
        </w:rPr>
      </w:pPr>
      <w:r w:rsidRPr="002671CF">
        <w:rPr>
          <w:sz w:val="22"/>
          <w:szCs w:val="22"/>
        </w:rPr>
        <w:t xml:space="preserve"> </w:t>
      </w:r>
    </w:p>
    <w:p w14:paraId="69FB3CD9" w14:textId="46414E89" w:rsidR="002671CF" w:rsidRPr="002671CF" w:rsidRDefault="002671CF" w:rsidP="002671CF">
      <w:pPr>
        <w:spacing w:after="0" w:line="480" w:lineRule="auto"/>
        <w:rPr>
          <w:b/>
          <w:bCs/>
          <w:sz w:val="22"/>
          <w:szCs w:val="22"/>
          <w:u w:val="single"/>
        </w:rPr>
      </w:pPr>
      <w:r w:rsidRPr="002671CF">
        <w:rPr>
          <w:b/>
          <w:bCs/>
          <w:sz w:val="22"/>
          <w:szCs w:val="22"/>
          <w:u w:val="single"/>
        </w:rPr>
        <w:t>Peer Response 2</w:t>
      </w:r>
    </w:p>
    <w:p w14:paraId="142CB20F" w14:textId="4191B681" w:rsidR="00DF5AC5" w:rsidRPr="002671CF" w:rsidRDefault="002671CF" w:rsidP="002671CF">
      <w:pPr>
        <w:spacing w:after="0" w:line="480" w:lineRule="auto"/>
        <w:rPr>
          <w:sz w:val="22"/>
          <w:szCs w:val="22"/>
        </w:rPr>
      </w:pPr>
      <w:r w:rsidRPr="002671CF">
        <w:rPr>
          <w:sz w:val="22"/>
          <w:szCs w:val="22"/>
        </w:rPr>
        <w:t>Hi Marwa,</w:t>
      </w:r>
      <w:r w:rsidRPr="002671CF">
        <w:rPr>
          <w:sz w:val="22"/>
          <w:szCs w:val="22"/>
        </w:rPr>
        <w:br/>
        <w:t>You have explained the benefits and challenges of IoT clearly. I agree with your point that having access to large amounts of data does not necessarily mean that the information will be useful. The quality of the data is just as important, especially when information is being collected continuously from different devices. Huxley (2020) also highlights how issues such as missing, inaccurate or inconsistent data can affect the reliability of the information being analysed.</w:t>
      </w:r>
      <w:r w:rsidRPr="002671CF">
        <w:rPr>
          <w:sz w:val="22"/>
          <w:szCs w:val="22"/>
        </w:rPr>
        <w:br/>
      </w:r>
      <w:r w:rsidRPr="002671CF">
        <w:rPr>
          <w:sz w:val="22"/>
          <w:szCs w:val="22"/>
        </w:rPr>
        <w:br/>
        <w:t>One area you could explore a little further is the security risk that comes with having so many devices connected to a network. You mentioned the risk of unauthorised access, but it would be interesting to consider what organisations can actually do to reduce this risk. For example, stronger authentication, encryption, regular software updates and monitoring could help make IoT systems more secure. This is important as poorly secured IoT devices have previously been exploited in large-scale cyberattacks, such as the Mirai botnet (Kolias et al., 2017).</w:t>
      </w:r>
      <w:r w:rsidRPr="002671CF">
        <w:rPr>
          <w:sz w:val="22"/>
          <w:szCs w:val="22"/>
        </w:rPr>
        <w:br/>
      </w:r>
      <w:r w:rsidRPr="002671CF">
        <w:rPr>
          <w:sz w:val="22"/>
          <w:szCs w:val="22"/>
        </w:rPr>
        <w:br/>
      </w:r>
      <w:r w:rsidRPr="002671CF">
        <w:rPr>
          <w:sz w:val="22"/>
          <w:szCs w:val="22"/>
        </w:rPr>
        <w:lastRenderedPageBreak/>
        <w:t>I also liked that you mentioned healthcare, transport and smart cities. Perhaps one of these examples could be developed further to show what the impact of poor-quality IoT data might be in practice. For example, in healthcare, if data from a wearable or monitoring device is inaccurate, could this potentially affect the decisions made about a patient?</w:t>
      </w:r>
      <w:r w:rsidRPr="002671CF">
        <w:rPr>
          <w:sz w:val="22"/>
          <w:szCs w:val="22"/>
        </w:rPr>
        <w:br/>
        <w:t>Overall, I think you have raised some important points about the opportunities IoT provides while also recognising that organisations need to think carefully about the quality and security of the data they collect.</w:t>
      </w:r>
      <w:r w:rsidRPr="002671CF">
        <w:rPr>
          <w:sz w:val="22"/>
          <w:szCs w:val="22"/>
        </w:rPr>
        <w:br/>
      </w:r>
      <w:r w:rsidRPr="002671CF">
        <w:rPr>
          <w:sz w:val="22"/>
          <w:szCs w:val="22"/>
        </w:rPr>
        <w:br/>
      </w:r>
      <w:r w:rsidRPr="002671CF">
        <w:rPr>
          <w:b/>
          <w:bCs/>
          <w:sz w:val="22"/>
          <w:szCs w:val="22"/>
          <w:u w:val="single"/>
        </w:rPr>
        <w:t>References</w:t>
      </w:r>
      <w:r w:rsidRPr="002671CF">
        <w:rPr>
          <w:sz w:val="22"/>
          <w:szCs w:val="22"/>
        </w:rPr>
        <w:br/>
        <w:t>1) Huxley, K. (2020) ‘Data cleaning’. In: Atkinson, P., Delamont, S., Cernat, A., Sakshaug, J.W. and Williams, R.A. (eds.) SAGE Research Methods Foundations. London: SAGE Publications Ltd. Available at: https://doi.org/10.4135/9781526421036842861 (Accessed: 2 August 2026).</w:t>
      </w:r>
      <w:r w:rsidRPr="002671CF">
        <w:rPr>
          <w:sz w:val="22"/>
          <w:szCs w:val="22"/>
        </w:rPr>
        <w:br/>
        <w:t xml:space="preserve">2) Kolias, C., </w:t>
      </w:r>
      <w:proofErr w:type="spellStart"/>
      <w:r w:rsidRPr="002671CF">
        <w:rPr>
          <w:sz w:val="22"/>
          <w:szCs w:val="22"/>
        </w:rPr>
        <w:t>Kambourakis</w:t>
      </w:r>
      <w:proofErr w:type="spellEnd"/>
      <w:r w:rsidRPr="002671CF">
        <w:rPr>
          <w:sz w:val="22"/>
          <w:szCs w:val="22"/>
        </w:rPr>
        <w:t xml:space="preserve">, G., Stavrou, A. and </w:t>
      </w:r>
      <w:proofErr w:type="spellStart"/>
      <w:r w:rsidRPr="002671CF">
        <w:rPr>
          <w:sz w:val="22"/>
          <w:szCs w:val="22"/>
        </w:rPr>
        <w:t>Voas</w:t>
      </w:r>
      <w:proofErr w:type="spellEnd"/>
      <w:r w:rsidRPr="002671CF">
        <w:rPr>
          <w:sz w:val="22"/>
          <w:szCs w:val="22"/>
        </w:rPr>
        <w:t>, J. (2017) ‘DDoS in the IoT: Mirai and other botnets’, Computer, 50(7), pp. 80–84.</w:t>
      </w:r>
    </w:p>
    <w:p w14:paraId="33BCFB89" w14:textId="77777777" w:rsidR="002671CF" w:rsidRPr="002671CF" w:rsidRDefault="002671CF" w:rsidP="002671CF">
      <w:pPr>
        <w:spacing w:after="0" w:line="480" w:lineRule="auto"/>
        <w:rPr>
          <w:sz w:val="22"/>
          <w:szCs w:val="22"/>
        </w:rPr>
      </w:pPr>
    </w:p>
    <w:p w14:paraId="0C125182" w14:textId="00B611BC" w:rsidR="002671CF" w:rsidRPr="002671CF" w:rsidRDefault="002671CF" w:rsidP="002671CF">
      <w:pPr>
        <w:spacing w:after="0" w:line="480" w:lineRule="auto"/>
        <w:rPr>
          <w:b/>
          <w:bCs/>
          <w:sz w:val="22"/>
          <w:szCs w:val="22"/>
          <w:u w:val="single"/>
        </w:rPr>
      </w:pPr>
      <w:r w:rsidRPr="002671CF">
        <w:rPr>
          <w:b/>
          <w:bCs/>
          <w:sz w:val="22"/>
          <w:szCs w:val="22"/>
          <w:u w:val="single"/>
        </w:rPr>
        <w:t xml:space="preserve">Peer Response </w:t>
      </w:r>
      <w:r w:rsidRPr="002671CF">
        <w:rPr>
          <w:b/>
          <w:bCs/>
          <w:sz w:val="22"/>
          <w:szCs w:val="22"/>
          <w:u w:val="single"/>
        </w:rPr>
        <w:t>3</w:t>
      </w:r>
    </w:p>
    <w:p w14:paraId="30E60D64" w14:textId="16B178B6" w:rsidR="002671CF" w:rsidRPr="002671CF" w:rsidRDefault="002671CF" w:rsidP="002671CF">
      <w:pPr>
        <w:spacing w:after="0" w:line="480" w:lineRule="auto"/>
        <w:rPr>
          <w:sz w:val="22"/>
          <w:szCs w:val="22"/>
        </w:rPr>
      </w:pPr>
      <w:r w:rsidRPr="002671CF">
        <w:rPr>
          <w:sz w:val="22"/>
          <w:szCs w:val="22"/>
        </w:rPr>
        <w:t>Hi Maria,</w:t>
      </w:r>
      <w:r w:rsidRPr="002671CF">
        <w:rPr>
          <w:sz w:val="22"/>
          <w:szCs w:val="22"/>
        </w:rPr>
        <w:br/>
        <w:t>One point that stood out to me was your discussion of how automation affects the data-cleaning process, particularly your argument that it does not remove human judgement but instead shifts it to an earlier stage. I think this is an important distinction because the rules created by data engineers can ultimately influence what is accepted, rejected or altered within a dataset. Huxley (2020) emphasises the importance of recording and justifying decisions made during data cleaning, and I think this becomes even more important when these decisions are built into automated processes and applied across very large datasets.</w:t>
      </w:r>
      <w:r w:rsidRPr="002671CF">
        <w:rPr>
          <w:sz w:val="22"/>
          <w:szCs w:val="22"/>
        </w:rPr>
        <w:br/>
        <w:t xml:space="preserve">You also raised an interesting point about sensor faults and the difficulty of distinguishing incorrect data from genuine events. An unusual reading does not necessarily mean that the </w:t>
      </w:r>
      <w:r w:rsidRPr="002671CF">
        <w:rPr>
          <w:sz w:val="22"/>
          <w:szCs w:val="22"/>
        </w:rPr>
        <w:lastRenderedPageBreak/>
        <w:t>data is wrong. In some situations, it could represent something important that has genuinely occurred. Teh, Kempa-Liehr and Wang (2020) identify missing data, anomalies and sensor faults as significant challenges affecting the quality of sensor-generated data. This suggests that relying entirely on automated cleaning could create a risk of valid information being incorrectly removed or classified as an error.</w:t>
      </w:r>
      <w:r w:rsidRPr="002671CF">
        <w:rPr>
          <w:sz w:val="22"/>
          <w:szCs w:val="22"/>
        </w:rPr>
        <w:br/>
        <w:t>Another issue that came to mind while reading your post was accountability. When data-cleaning decisions are incorporated into algorithms, researchers using the final dataset may not always know what changes have already been made to the original data. Khatri and Brown (2010) argue that effective data governance requires organisations to establish clear responsibilities and accountability for decisions concerning data. Janssen et al. (2020) also highlight the importance of transparency and appropriate data governance where automated systems are involved in decision-making.</w:t>
      </w:r>
      <w:r w:rsidRPr="002671CF">
        <w:rPr>
          <w:sz w:val="22"/>
          <w:szCs w:val="22"/>
        </w:rPr>
        <w:br/>
        <w:t>I therefore wonder whether organisations using automated IoT data-cleaning processes should be required to maintain an audit trail showing which data has been removed, changed or flagged and why. This could provide researchers with greater transparency and allow automated decisions to be reviewed where necessary.</w:t>
      </w:r>
      <w:r w:rsidRPr="002671CF">
        <w:rPr>
          <w:sz w:val="22"/>
          <w:szCs w:val="22"/>
        </w:rPr>
        <w:br/>
        <w:t>Do you think having this type of audit trail should become standard practice when organisations use automated systems to clean large volumes of IoT data?</w:t>
      </w:r>
      <w:r w:rsidRPr="002671CF">
        <w:rPr>
          <w:sz w:val="22"/>
          <w:szCs w:val="22"/>
        </w:rPr>
        <w:br/>
      </w:r>
      <w:r w:rsidRPr="002671CF">
        <w:rPr>
          <w:sz w:val="22"/>
          <w:szCs w:val="22"/>
        </w:rPr>
        <w:br/>
      </w:r>
      <w:r w:rsidRPr="002671CF">
        <w:rPr>
          <w:b/>
          <w:bCs/>
          <w:sz w:val="22"/>
          <w:szCs w:val="22"/>
          <w:u w:val="single"/>
        </w:rPr>
        <w:t>References</w:t>
      </w:r>
      <w:r w:rsidRPr="002671CF">
        <w:rPr>
          <w:sz w:val="22"/>
          <w:szCs w:val="22"/>
        </w:rPr>
        <w:br/>
        <w:t>1) Huxley, K. (2020) ‘Data cleaning’, in Atkinson, P., Delamont, S., Cernat, A., Sakshaug, J.W. and Williams, R.A. (eds.) SAGE Research Methods Foundations. London: SAGE Publications Ltd. Available at: DOI (Accessed: 2 August 2026).</w:t>
      </w:r>
      <w:r w:rsidRPr="002671CF">
        <w:rPr>
          <w:sz w:val="22"/>
          <w:szCs w:val="22"/>
        </w:rPr>
        <w:br/>
        <w:t>2) Janssen, M., Brous, P., Estevez, E., Barbosa, L.S. and Janowski, T. (2020) ‘Data governance: Organizing data for trustworthy artificial intelligence’, Government Information Quarterly, 37(3), article 101493.</w:t>
      </w:r>
      <w:r w:rsidRPr="002671CF">
        <w:rPr>
          <w:sz w:val="22"/>
          <w:szCs w:val="22"/>
        </w:rPr>
        <w:br/>
      </w:r>
      <w:r w:rsidRPr="002671CF">
        <w:rPr>
          <w:sz w:val="22"/>
          <w:szCs w:val="22"/>
        </w:rPr>
        <w:lastRenderedPageBreak/>
        <w:t>3) Khatri, V. and Brown, C.V. (2010) ‘Designing data governance’, Communications of the ACM, 53(1), pp. 148–152.</w:t>
      </w:r>
      <w:r w:rsidRPr="002671CF">
        <w:rPr>
          <w:sz w:val="22"/>
          <w:szCs w:val="22"/>
        </w:rPr>
        <w:br/>
        <w:t>4) Teh, H.Y., Kempa-Liehr, A.W. and Wang, K.I.-K. (2020) ‘Sensor data quality: A systematic review’, Journal of Big Data, 7, article 11.</w:t>
      </w:r>
    </w:p>
    <w:p w14:paraId="52EA92E6" w14:textId="77777777" w:rsidR="002671CF" w:rsidRPr="002671CF" w:rsidRDefault="002671CF" w:rsidP="002671CF">
      <w:pPr>
        <w:spacing w:after="0" w:line="480" w:lineRule="auto"/>
        <w:rPr>
          <w:sz w:val="22"/>
          <w:szCs w:val="22"/>
        </w:rPr>
      </w:pPr>
    </w:p>
    <w:sectPr w:rsidR="002671CF" w:rsidRPr="00267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21358"/>
    <w:multiLevelType w:val="hybridMultilevel"/>
    <w:tmpl w:val="B1FED7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BA7175C"/>
    <w:multiLevelType w:val="hybridMultilevel"/>
    <w:tmpl w:val="D354D8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D7B1A0F"/>
    <w:multiLevelType w:val="hybridMultilevel"/>
    <w:tmpl w:val="BA283B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80222996">
    <w:abstractNumId w:val="1"/>
  </w:num>
  <w:num w:numId="2" w16cid:durableId="719088920">
    <w:abstractNumId w:val="2"/>
  </w:num>
  <w:num w:numId="3" w16cid:durableId="1534030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CF"/>
    <w:rsid w:val="002671CF"/>
    <w:rsid w:val="00C505D3"/>
    <w:rsid w:val="00DF5A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B5A46"/>
  <w15:chartTrackingRefBased/>
  <w15:docId w15:val="{01C446E7-8BA9-43E2-AAA4-D3E6545C7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1CF"/>
  </w:style>
  <w:style w:type="paragraph" w:styleId="Heading1">
    <w:name w:val="heading 1"/>
    <w:basedOn w:val="Normal"/>
    <w:next w:val="Normal"/>
    <w:link w:val="Heading1Char"/>
    <w:uiPriority w:val="9"/>
    <w:qFormat/>
    <w:rsid w:val="00267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CF"/>
    <w:rPr>
      <w:rFonts w:eastAsiaTheme="majorEastAsia" w:cstheme="majorBidi"/>
      <w:color w:val="272727" w:themeColor="text1" w:themeTint="D8"/>
    </w:rPr>
  </w:style>
  <w:style w:type="paragraph" w:styleId="Title">
    <w:name w:val="Title"/>
    <w:basedOn w:val="Normal"/>
    <w:next w:val="Normal"/>
    <w:link w:val="TitleChar"/>
    <w:uiPriority w:val="10"/>
    <w:qFormat/>
    <w:rsid w:val="00267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CF"/>
    <w:pPr>
      <w:spacing w:before="160"/>
      <w:jc w:val="center"/>
    </w:pPr>
    <w:rPr>
      <w:i/>
      <w:iCs/>
      <w:color w:val="404040" w:themeColor="text1" w:themeTint="BF"/>
    </w:rPr>
  </w:style>
  <w:style w:type="character" w:customStyle="1" w:styleId="QuoteChar">
    <w:name w:val="Quote Char"/>
    <w:basedOn w:val="DefaultParagraphFont"/>
    <w:link w:val="Quote"/>
    <w:uiPriority w:val="29"/>
    <w:rsid w:val="002671CF"/>
    <w:rPr>
      <w:i/>
      <w:iCs/>
      <w:color w:val="404040" w:themeColor="text1" w:themeTint="BF"/>
    </w:rPr>
  </w:style>
  <w:style w:type="paragraph" w:styleId="ListParagraph">
    <w:name w:val="List Paragraph"/>
    <w:basedOn w:val="Normal"/>
    <w:uiPriority w:val="34"/>
    <w:qFormat/>
    <w:rsid w:val="002671CF"/>
    <w:pPr>
      <w:ind w:left="720"/>
      <w:contextualSpacing/>
    </w:pPr>
  </w:style>
  <w:style w:type="character" w:styleId="IntenseEmphasis">
    <w:name w:val="Intense Emphasis"/>
    <w:basedOn w:val="DefaultParagraphFont"/>
    <w:uiPriority w:val="21"/>
    <w:qFormat/>
    <w:rsid w:val="002671CF"/>
    <w:rPr>
      <w:i/>
      <w:iCs/>
      <w:color w:val="0F4761" w:themeColor="accent1" w:themeShade="BF"/>
    </w:rPr>
  </w:style>
  <w:style w:type="paragraph" w:styleId="IntenseQuote">
    <w:name w:val="Intense Quote"/>
    <w:basedOn w:val="Normal"/>
    <w:next w:val="Normal"/>
    <w:link w:val="IntenseQuoteChar"/>
    <w:uiPriority w:val="30"/>
    <w:qFormat/>
    <w:rsid w:val="00267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CF"/>
    <w:rPr>
      <w:i/>
      <w:iCs/>
      <w:color w:val="0F4761" w:themeColor="accent1" w:themeShade="BF"/>
    </w:rPr>
  </w:style>
  <w:style w:type="character" w:styleId="IntenseReference">
    <w:name w:val="Intense Reference"/>
    <w:basedOn w:val="DefaultParagraphFont"/>
    <w:uiPriority w:val="32"/>
    <w:qFormat/>
    <w:rsid w:val="002671CF"/>
    <w:rPr>
      <w:b/>
      <w:bCs/>
      <w:smallCaps/>
      <w:color w:val="0F4761" w:themeColor="accent1" w:themeShade="BF"/>
      <w:spacing w:val="5"/>
    </w:rPr>
  </w:style>
  <w:style w:type="character" w:styleId="Hyperlink">
    <w:name w:val="Hyperlink"/>
    <w:basedOn w:val="DefaultParagraphFont"/>
    <w:uiPriority w:val="99"/>
    <w:unhideWhenUsed/>
    <w:rsid w:val="002671CF"/>
    <w:rPr>
      <w:color w:val="467886" w:themeColor="hyperlink"/>
      <w:u w:val="single"/>
    </w:rPr>
  </w:style>
  <w:style w:type="character" w:styleId="UnresolvedMention">
    <w:name w:val="Unresolved Mention"/>
    <w:basedOn w:val="DefaultParagraphFont"/>
    <w:uiPriority w:val="99"/>
    <w:semiHidden/>
    <w:unhideWhenUsed/>
    <w:rsid w:val="00267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390/electronics120819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1088</Words>
  <Characters>6652</Characters>
  <Application>Microsoft Office Word</Application>
  <DocSecurity>0</DocSecurity>
  <Lines>95</Lines>
  <Paragraphs>29</Paragraphs>
  <ScaleCrop>false</ScaleCrop>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1</cp:revision>
  <dcterms:created xsi:type="dcterms:W3CDTF">2026-08-09T15:06:00Z</dcterms:created>
  <dcterms:modified xsi:type="dcterms:W3CDTF">2026-08-09T15:11:00Z</dcterms:modified>
</cp:coreProperties>
</file>