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1209" w14:textId="74E58C98" w:rsidR="004F4EAB" w:rsidRPr="004F4EAB" w:rsidRDefault="004F4EAB" w:rsidP="004F4EAB">
      <w:pPr>
        <w:rPr>
          <w:b/>
          <w:bCs/>
        </w:rPr>
      </w:pPr>
      <w:r w:rsidRPr="004F4EAB">
        <w:rPr>
          <w:b/>
          <w:bCs/>
        </w:rPr>
        <w:t>Data Activity 7</w:t>
      </w:r>
    </w:p>
    <w:p w14:paraId="60C22191" w14:textId="77777777" w:rsidR="00D30B32" w:rsidRPr="00D30B32" w:rsidRDefault="00D30B32" w:rsidP="00D30B32">
      <w:pPr>
        <w:rPr>
          <w:b/>
          <w:bCs/>
        </w:rPr>
      </w:pPr>
      <w:r w:rsidRPr="00D30B32">
        <w:rPr>
          <w:b/>
          <w:bCs/>
        </w:rPr>
        <w:t>Cross-Tabulation Analysis – COVID-19 India Dataset</w:t>
      </w:r>
    </w:p>
    <w:p w14:paraId="128EAE4A" w14:textId="77777777" w:rsidR="00D30B32" w:rsidRPr="00D30B32" w:rsidRDefault="00D30B32" w:rsidP="00D30B32">
      <w:r w:rsidRPr="00D30B32">
        <w:rPr>
          <w:b/>
          <w:bCs/>
        </w:rPr>
        <w:t>Method</w:t>
      </w:r>
    </w:p>
    <w:p w14:paraId="06C114F8" w14:textId="77777777" w:rsidR="00D30B32" w:rsidRPr="00AF2F41" w:rsidRDefault="00D30B32" w:rsidP="00D30B32">
      <w:r w:rsidRPr="00AF2F41">
        <w:t>The COVID-19 India dataset was imported into R and explored to identify the relevant variables. Total confirmed cases were calculated by combining ConfirmedIndianNational and ConfirmedForeignNational. Cases were then grouped into three severity categories: Low (0–10), Medium (11–50) and High (&gt;50). States and Union Territories were grouped into geographical regions to allow comparison.</w:t>
      </w:r>
    </w:p>
    <w:p w14:paraId="384E1788" w14:textId="77777777" w:rsidR="00D30B32" w:rsidRPr="00AF2F41" w:rsidRDefault="00D30B32" w:rsidP="00D30B32">
      <w:r w:rsidRPr="00AF2F41">
        <w:t>For the recovery analysis, the Cured variable was grouped into No Recovery (0), Low Recovery (1–10) and Higher Recovery (&gt;10). Cross-tabulation was then used to explore the relationship between region and case severity, followed by the relationship between case severity and recovery status.</w:t>
      </w:r>
    </w:p>
    <w:p w14:paraId="00B7D918" w14:textId="41AECDF1" w:rsidR="004F4EAB" w:rsidRPr="00AF2F41" w:rsidRDefault="00D30B32">
      <w:pPr>
        <w:rPr>
          <w:b/>
          <w:bCs/>
          <w:u w:val="single"/>
        </w:rPr>
      </w:pPr>
      <w:r w:rsidRPr="00AF2F41">
        <w:rPr>
          <w:b/>
          <w:bCs/>
          <w:u w:val="single"/>
        </w:rPr>
        <w:t>Evidence 1 – Creating the Variables</w:t>
      </w:r>
    </w:p>
    <w:p w14:paraId="0F1B29B9" w14:textId="3C0FCEB9" w:rsidR="004F4EAB" w:rsidRPr="004F4EAB" w:rsidRDefault="00D30B32" w:rsidP="004F4EAB">
      <w:r w:rsidRPr="004F4EAB">
        <w:drawing>
          <wp:anchor distT="0" distB="0" distL="114300" distR="114300" simplePos="0" relativeHeight="251658240" behindDoc="0" locked="0" layoutInCell="1" allowOverlap="1" wp14:anchorId="50D87959" wp14:editId="457A6201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095750" cy="2456815"/>
            <wp:effectExtent l="0" t="0" r="0" b="635"/>
            <wp:wrapNone/>
            <wp:docPr id="5905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121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00" r="5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56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85E68" w14:textId="77777777" w:rsidR="004F4EAB" w:rsidRPr="004F4EAB" w:rsidRDefault="004F4EAB" w:rsidP="004F4EAB"/>
    <w:p w14:paraId="08B7E5BB" w14:textId="0CF3FE37" w:rsidR="004F4EAB" w:rsidRPr="004F4EAB" w:rsidRDefault="004F4EAB" w:rsidP="004F4EAB"/>
    <w:p w14:paraId="7A254315" w14:textId="77777777" w:rsidR="004F4EAB" w:rsidRPr="004F4EAB" w:rsidRDefault="004F4EAB" w:rsidP="004F4EAB"/>
    <w:p w14:paraId="3C382970" w14:textId="241928C5" w:rsidR="004F4EAB" w:rsidRPr="004F4EAB" w:rsidRDefault="004F4EAB" w:rsidP="004F4EAB"/>
    <w:p w14:paraId="32173A28" w14:textId="77777777" w:rsidR="004F4EAB" w:rsidRPr="004F4EAB" w:rsidRDefault="004F4EAB" w:rsidP="004F4EAB"/>
    <w:p w14:paraId="7B2F25E8" w14:textId="77777777" w:rsidR="004F4EAB" w:rsidRPr="004F4EAB" w:rsidRDefault="004F4EAB" w:rsidP="004F4EAB"/>
    <w:p w14:paraId="341A6578" w14:textId="73DD9BF5" w:rsidR="004F4EAB" w:rsidRPr="004F4EAB" w:rsidRDefault="004F4EAB" w:rsidP="004F4EAB"/>
    <w:p w14:paraId="5577A35C" w14:textId="6EF66D4D" w:rsidR="00D30B32" w:rsidRPr="00D30B32" w:rsidRDefault="00D30B32" w:rsidP="004F4EAB">
      <w:pPr>
        <w:rPr>
          <w:i/>
          <w:iCs/>
          <w:sz w:val="20"/>
          <w:szCs w:val="20"/>
        </w:rPr>
      </w:pPr>
      <w:r w:rsidRPr="00D30B32">
        <w:rPr>
          <w:i/>
          <w:iCs/>
          <w:sz w:val="20"/>
          <w:szCs w:val="20"/>
        </w:rPr>
        <w:t>Figure 1. Creation of total confirmed cases and case severity categories in R.</w:t>
      </w:r>
    </w:p>
    <w:p w14:paraId="51A6F45B" w14:textId="69C2D4DD" w:rsidR="004F4EAB" w:rsidRPr="00AF2F41" w:rsidRDefault="00D30B32" w:rsidP="004F4EAB">
      <w:pPr>
        <w:rPr>
          <w:b/>
          <w:bCs/>
          <w:u w:val="single"/>
        </w:rPr>
      </w:pPr>
      <w:r w:rsidRPr="00AF2F41">
        <w:rPr>
          <w:b/>
          <w:bCs/>
          <w:u w:val="single"/>
        </w:rPr>
        <w:lastRenderedPageBreak/>
        <w:t>Evidence 2 – Region × Case Severity</w:t>
      </w:r>
    </w:p>
    <w:p w14:paraId="396890A9" w14:textId="70167C9D" w:rsidR="00D30B32" w:rsidRPr="004F4EAB" w:rsidRDefault="00D30B32" w:rsidP="004F4EAB">
      <w:r w:rsidRPr="00D30B32">
        <w:drawing>
          <wp:inline distT="0" distB="0" distL="0" distR="0" wp14:anchorId="29B79890" wp14:editId="03648ABB">
            <wp:extent cx="2886478" cy="1286054"/>
            <wp:effectExtent l="0" t="0" r="9525" b="0"/>
            <wp:docPr id="7950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3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0D8D" w14:textId="271B3930" w:rsidR="004F4EAB" w:rsidRPr="00D30B32" w:rsidRDefault="00D30B32" w:rsidP="004F4EAB">
      <w:pPr>
        <w:rPr>
          <w:i/>
          <w:iCs/>
          <w:sz w:val="20"/>
          <w:szCs w:val="20"/>
        </w:rPr>
      </w:pPr>
      <w:r w:rsidRPr="00D30B32">
        <w:rPr>
          <w:i/>
          <w:iCs/>
          <w:sz w:val="20"/>
          <w:szCs w:val="20"/>
        </w:rPr>
        <w:t>Figure 2. Cross-tabulation of geographical region and COVID-19 case severity.</w:t>
      </w:r>
    </w:p>
    <w:p w14:paraId="601B9B7C" w14:textId="5BA277D5" w:rsidR="004F4EAB" w:rsidRDefault="00D30B32" w:rsidP="004F4EAB">
      <w:r w:rsidRPr="00D30B32">
        <w:rPr>
          <w:b/>
          <w:bCs/>
        </w:rPr>
        <w:t>Findings:</w:t>
      </w:r>
      <w:r w:rsidRPr="00D30B32">
        <w:t xml:space="preserve"> The cross-tabulation showed that most observations were classified as low severity. The South recorded the highest number of low-severity observations (95), closely followed by the North (92). Medium-severity observations were most frequent in the North (35), while the West was the only region to contain high-severity observations (2). This demonstrates differences in the distribution of recorded case levels between geographical regions during the period examined.</w:t>
      </w:r>
    </w:p>
    <w:p w14:paraId="671792A8" w14:textId="77777777" w:rsidR="00AF2F41" w:rsidRPr="004F4EAB" w:rsidRDefault="00AF2F41" w:rsidP="004F4EAB"/>
    <w:p w14:paraId="1BF83FEA" w14:textId="56924E30" w:rsidR="004F4EAB" w:rsidRPr="00AF2F41" w:rsidRDefault="00AF2F41" w:rsidP="004F4EAB">
      <w:pPr>
        <w:rPr>
          <w:b/>
          <w:bCs/>
          <w:u w:val="single"/>
        </w:rPr>
      </w:pPr>
      <w:r w:rsidRPr="00AF2F41">
        <w:rPr>
          <w:b/>
          <w:bCs/>
          <w:u w:val="single"/>
        </w:rPr>
        <w:t>Evidence 3 – Case Severity × Recovery Status</w:t>
      </w:r>
    </w:p>
    <w:p w14:paraId="53A167D1" w14:textId="58A4AF02" w:rsidR="004F4EAB" w:rsidRDefault="00AF2F41">
      <w:r w:rsidRPr="00AF2F41">
        <w:drawing>
          <wp:inline distT="0" distB="0" distL="0" distR="0" wp14:anchorId="60BB9BF0" wp14:editId="185A3B61">
            <wp:extent cx="4344006" cy="1190791"/>
            <wp:effectExtent l="0" t="0" r="0" b="9525"/>
            <wp:docPr id="45301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17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5718" w14:textId="28EF3A7E" w:rsidR="00AF2F41" w:rsidRPr="00AF2F41" w:rsidRDefault="00AF2F41">
      <w:pPr>
        <w:rPr>
          <w:i/>
          <w:iCs/>
          <w:sz w:val="20"/>
          <w:szCs w:val="20"/>
        </w:rPr>
      </w:pPr>
      <w:r w:rsidRPr="00AF2F41">
        <w:rPr>
          <w:i/>
          <w:iCs/>
          <w:sz w:val="20"/>
          <w:szCs w:val="20"/>
        </w:rPr>
        <w:t>Figure 3. Cross-tabulation of case severity level and recovery status.</w:t>
      </w:r>
    </w:p>
    <w:p w14:paraId="356AE2B8" w14:textId="6C83719E" w:rsidR="004F4EAB" w:rsidRDefault="00AF2F41">
      <w:r w:rsidRPr="00AF2F41">
        <w:rPr>
          <w:b/>
          <w:bCs/>
        </w:rPr>
        <w:lastRenderedPageBreak/>
        <w:t>Findings:</w:t>
      </w:r>
      <w:r w:rsidRPr="00AF2F41">
        <w:t xml:space="preserve"> Most low-severity observations were associated with no recorded recoveries (180), while 26 had low recovery. Medium-severity observations were more evenly distributed, with 33 showing no recovery and 29 showing low recovery. Both high-severity observations had no recorded recoveries, and no observations were classified as higher recovery.</w:t>
      </w:r>
    </w:p>
    <w:p w14:paraId="0FFAB4B4" w14:textId="6D6EFFC5" w:rsidR="00AF2F41" w:rsidRPr="00AF2F41" w:rsidRDefault="00AF2F41">
      <w:pPr>
        <w:rPr>
          <w:b/>
          <w:bCs/>
          <w:u w:val="single"/>
        </w:rPr>
      </w:pPr>
      <w:r w:rsidRPr="00AF2F41">
        <w:rPr>
          <w:b/>
          <w:bCs/>
          <w:u w:val="single"/>
        </w:rPr>
        <w:t>Reflection</w:t>
      </w:r>
    </w:p>
    <w:p w14:paraId="57DE0003" w14:textId="1AF04E5B" w:rsidR="00AF2F41" w:rsidRDefault="00AF2F41">
      <w:r w:rsidRPr="00AF2F41">
        <w:t>This exercise helped me understand how continuous numerical data can be converted into meaningful categorical variables and examined using cross-tabulation. I also learned that the way categories are defined can influence the patterns observed. The analysis should therefore be interpreted cautiously, as the dataset contains state-level observations recorded over time rather than individual patient outcomes. Cross-tabulation identifies associations and patterns within the data but does not establish causation.</w:t>
      </w:r>
    </w:p>
    <w:p w14:paraId="70661785" w14:textId="07398AE2" w:rsidR="004F4EAB" w:rsidRDefault="00D30B32">
      <w:r w:rsidRPr="00D30B32">
        <w:lastRenderedPageBreak/>
        <w:drawing>
          <wp:inline distT="0" distB="0" distL="0" distR="0" wp14:anchorId="4591A797" wp14:editId="7FD71B20">
            <wp:extent cx="3851910" cy="5731510"/>
            <wp:effectExtent l="0" t="0" r="0" b="2540"/>
            <wp:docPr id="17105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6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882" w14:textId="50FC0C06" w:rsidR="00A95145" w:rsidRDefault="004F4EAB">
      <w:r>
        <w:lastRenderedPageBreak/>
        <w:br w:type="textWrapping" w:clear="all"/>
      </w:r>
    </w:p>
    <w:sectPr w:rsidR="00A95145" w:rsidSect="004F4EA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AB"/>
    <w:rsid w:val="004F4EAB"/>
    <w:rsid w:val="006762F9"/>
    <w:rsid w:val="00A95145"/>
    <w:rsid w:val="00AF2F41"/>
    <w:rsid w:val="00D3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11A5"/>
  <w15:chartTrackingRefBased/>
  <w15:docId w15:val="{8CB0DFF4-CFD9-4FD1-85EC-5BFA7747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464</Words>
  <Characters>2010</Characters>
  <Application>Microsoft Office Word</Application>
  <DocSecurity>0</DocSecurity>
  <Lines>154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1</cp:revision>
  <dcterms:created xsi:type="dcterms:W3CDTF">2026-09-24T14:14:00Z</dcterms:created>
  <dcterms:modified xsi:type="dcterms:W3CDTF">2026-09-24T14:37:00Z</dcterms:modified>
</cp:coreProperties>
</file>