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201D" w14:textId="77777777" w:rsidR="00A71EC3" w:rsidRPr="00A71EC3" w:rsidRDefault="00A71EC3" w:rsidP="00A71EC3">
      <w:pPr>
        <w:rPr>
          <w:b/>
          <w:bCs/>
          <w:u w:val="single"/>
        </w:rPr>
      </w:pPr>
      <w:r w:rsidRPr="00A71EC3">
        <w:rPr>
          <w:b/>
          <w:bCs/>
          <w:u w:val="single"/>
        </w:rPr>
        <w:t>Summary Post</w:t>
      </w:r>
    </w:p>
    <w:p w14:paraId="489C4A33" w14:textId="75D07276" w:rsidR="00A71EC3" w:rsidRPr="00A71EC3" w:rsidRDefault="00A71EC3" w:rsidP="00A71EC3">
      <w:r w:rsidRPr="00A71EC3">
        <w:t>The peer responses developed my initial interpretation of Brown’s (1994) data in two important ways. My original post grouped the findings into barriers to intrapartum care, willingness and competence, and views on future maternity care. The fact that the same three themes were identified independently by another student suggests that these groupings reflect patterns within Brown’s questionnaire rather than simply my own choices about how to present the data.</w:t>
      </w:r>
    </w:p>
    <w:p w14:paraId="2ED75D72" w14:textId="77777777" w:rsidR="00A71EC3" w:rsidRPr="00A71EC3" w:rsidRDefault="00A71EC3" w:rsidP="00A71EC3">
      <w:r w:rsidRPr="00A71EC3">
        <w:t>I initially focused on how visualisation could make a lengthy table easier to interpret. The discussion has made me recognise that visualisation also involves analytical decisions. In particular, the positioning of neutral responses within a diverging chart can alter the visual impression of the balance between agreement and disagreement even though the underlying values remain unchanged (Heiberger and Robbins, 2014). This strengthens my view that figures should complement rather than replace the original table, as the table provides the numerical detail needed to check how a visual representation has been constructed.</w:t>
      </w:r>
    </w:p>
    <w:p w14:paraId="1728ACDE" w14:textId="77777777" w:rsidR="00A71EC3" w:rsidRPr="00A71EC3" w:rsidRDefault="00A71EC3" w:rsidP="00A71EC3">
      <w:r w:rsidRPr="00A71EC3">
        <w:t>The observation that the response totals in Brown’s Table II vary between rows also adds an important limitation that I had not identified in my initial analysis. This demonstrates the importance of checking the underlying counts and denominators before interpreting or visualising percentages, rather than assuming that every item is based on the stated sample of 550 respondents.</w:t>
      </w:r>
    </w:p>
    <w:p w14:paraId="0E7C7AF2" w14:textId="77777777" w:rsidR="00A71EC3" w:rsidRPr="00A71EC3" w:rsidRDefault="00A71EC3" w:rsidP="00A71EC3">
      <w:r w:rsidRPr="00A71EC3">
        <w:t>The second response also moved my interpretation beyond presentation towards the practical meaning of the findings. I had identified workload as the largest reported barrier at 83%, alongside relatively low reported willingness and competence. Considering these findings alongside issues such as training, defined professional responsibilities, referral arrangements and multidisciplinary working shows that increasing involvement would potentially require organisational as well as individual changes. WHO (2018) similarly emphasises appropriately trained professionals, effective communication, referral arrangements and continuity of care.</w:t>
      </w:r>
    </w:p>
    <w:p w14:paraId="58855587" w14:textId="77777777" w:rsidR="00A71EC3" w:rsidRPr="00A71EC3" w:rsidRDefault="00A71EC3" w:rsidP="00A71EC3">
      <w:r w:rsidRPr="00A71EC3">
        <w:t>Overall, the discussion has changed my understanding of the exercise. I initially saw the task mainly as finding a clearer way to present Brown’s results. I now see that effective data visualisation also requires scrutiny of the underlying data, transparency about analytical choices and consideration of what the patterns may mean in practice.</w:t>
      </w:r>
    </w:p>
    <w:p w14:paraId="0E2EFE0D" w14:textId="77777777" w:rsidR="00A71EC3" w:rsidRPr="00A71EC3" w:rsidRDefault="00A71EC3" w:rsidP="00A71EC3">
      <w:pPr>
        <w:rPr>
          <w:u w:val="single"/>
        </w:rPr>
      </w:pPr>
      <w:r w:rsidRPr="00A71EC3">
        <w:rPr>
          <w:b/>
          <w:bCs/>
          <w:u w:val="single"/>
        </w:rPr>
        <w:t>References</w:t>
      </w:r>
    </w:p>
    <w:p w14:paraId="3BD502AD" w14:textId="77777777" w:rsidR="00A71EC3" w:rsidRPr="00A71EC3" w:rsidRDefault="00A71EC3" w:rsidP="00A71EC3">
      <w:r w:rsidRPr="00A71EC3">
        <w:t xml:space="preserve">Brown, D.J. (1994) ‘Opinions of general practitioners in Nottinghamshire about provision of intrapartum care’, </w:t>
      </w:r>
      <w:r w:rsidRPr="00A71EC3">
        <w:rPr>
          <w:i/>
          <w:iCs/>
        </w:rPr>
        <w:t>BMJ</w:t>
      </w:r>
      <w:r w:rsidRPr="00A71EC3">
        <w:t>, 309(6957), pp. 777–779. doi: 10.1136/bmj.309.6957.777.</w:t>
      </w:r>
    </w:p>
    <w:p w14:paraId="75D48B66" w14:textId="77777777" w:rsidR="00A71EC3" w:rsidRPr="00A71EC3" w:rsidRDefault="00A71EC3" w:rsidP="00A71EC3">
      <w:pPr>
        <w:rPr>
          <w:rStyle w:val="Hyperlink"/>
        </w:rPr>
      </w:pPr>
      <w:r w:rsidRPr="00A71EC3">
        <w:fldChar w:fldCharType="begin"/>
      </w:r>
      <w:r w:rsidRPr="00A71EC3">
        <w:instrText>HYPERLINK "https://libkey.io/libraries/2795/articles/36810231/content-location?utm_source=nomad"</w:instrText>
      </w:r>
      <w:r w:rsidRPr="00A71EC3">
        <w:fldChar w:fldCharType="separate"/>
      </w:r>
    </w:p>
    <w:p w14:paraId="75F4BF1D" w14:textId="77777777" w:rsidR="00A71EC3" w:rsidRPr="00A71EC3" w:rsidRDefault="00A71EC3" w:rsidP="00A71EC3">
      <w:r w:rsidRPr="00A71EC3">
        <w:fldChar w:fldCharType="end"/>
      </w:r>
    </w:p>
    <w:p w14:paraId="4954AD80" w14:textId="77777777" w:rsidR="00A71EC3" w:rsidRPr="00A71EC3" w:rsidRDefault="00A71EC3" w:rsidP="00A71EC3">
      <w:r w:rsidRPr="00A71EC3">
        <w:lastRenderedPageBreak/>
        <w:t xml:space="preserve">Heiberger, R.M. and Robbins, N.B. (2014) ‘Design of diverging stacked bar charts for Likert scales and other applications’, </w:t>
      </w:r>
      <w:r w:rsidRPr="00A71EC3">
        <w:rPr>
          <w:i/>
          <w:iCs/>
        </w:rPr>
        <w:t>Journal of Statistical Software</w:t>
      </w:r>
      <w:r w:rsidRPr="00A71EC3">
        <w:t>, 57(5), pp. 1–32.</w:t>
      </w:r>
    </w:p>
    <w:p w14:paraId="5090EBFA" w14:textId="77777777" w:rsidR="00A71EC3" w:rsidRPr="00A71EC3" w:rsidRDefault="00A71EC3" w:rsidP="00A71EC3">
      <w:r w:rsidRPr="00A71EC3">
        <w:t xml:space="preserve">World Health Organization (2018) </w:t>
      </w:r>
      <w:r w:rsidRPr="00A71EC3">
        <w:rPr>
          <w:i/>
          <w:iCs/>
        </w:rPr>
        <w:t>WHO recommendations: Intrapartum care for a positive childbirth experience</w:t>
      </w:r>
      <w:r w:rsidRPr="00A71EC3">
        <w:t>. Geneva: World Health Organization.</w:t>
      </w:r>
    </w:p>
    <w:p w14:paraId="2D1931FC" w14:textId="77777777" w:rsidR="0006736B" w:rsidRDefault="0006736B"/>
    <w:sectPr w:rsidR="00067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EC3"/>
    <w:rsid w:val="0006736B"/>
    <w:rsid w:val="00112766"/>
    <w:rsid w:val="00A71E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49C5"/>
  <w15:chartTrackingRefBased/>
  <w15:docId w15:val="{92112CA0-175A-44FB-9B65-F6FFA7A98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EC3"/>
    <w:rPr>
      <w:rFonts w:eastAsiaTheme="majorEastAsia" w:cstheme="majorBidi"/>
      <w:color w:val="272727" w:themeColor="text1" w:themeTint="D8"/>
    </w:rPr>
  </w:style>
  <w:style w:type="paragraph" w:styleId="Title">
    <w:name w:val="Title"/>
    <w:basedOn w:val="Normal"/>
    <w:next w:val="Normal"/>
    <w:link w:val="TitleChar"/>
    <w:uiPriority w:val="10"/>
    <w:qFormat/>
    <w:rsid w:val="00A71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EC3"/>
    <w:pPr>
      <w:spacing w:before="160"/>
      <w:jc w:val="center"/>
    </w:pPr>
    <w:rPr>
      <w:i/>
      <w:iCs/>
      <w:color w:val="404040" w:themeColor="text1" w:themeTint="BF"/>
    </w:rPr>
  </w:style>
  <w:style w:type="character" w:customStyle="1" w:styleId="QuoteChar">
    <w:name w:val="Quote Char"/>
    <w:basedOn w:val="DefaultParagraphFont"/>
    <w:link w:val="Quote"/>
    <w:uiPriority w:val="29"/>
    <w:rsid w:val="00A71EC3"/>
    <w:rPr>
      <w:i/>
      <w:iCs/>
      <w:color w:val="404040" w:themeColor="text1" w:themeTint="BF"/>
    </w:rPr>
  </w:style>
  <w:style w:type="paragraph" w:styleId="ListParagraph">
    <w:name w:val="List Paragraph"/>
    <w:basedOn w:val="Normal"/>
    <w:uiPriority w:val="34"/>
    <w:qFormat/>
    <w:rsid w:val="00A71EC3"/>
    <w:pPr>
      <w:ind w:left="720"/>
      <w:contextualSpacing/>
    </w:pPr>
  </w:style>
  <w:style w:type="character" w:styleId="IntenseEmphasis">
    <w:name w:val="Intense Emphasis"/>
    <w:basedOn w:val="DefaultParagraphFont"/>
    <w:uiPriority w:val="21"/>
    <w:qFormat/>
    <w:rsid w:val="00A71EC3"/>
    <w:rPr>
      <w:i/>
      <w:iCs/>
      <w:color w:val="0F4761" w:themeColor="accent1" w:themeShade="BF"/>
    </w:rPr>
  </w:style>
  <w:style w:type="paragraph" w:styleId="IntenseQuote">
    <w:name w:val="Intense Quote"/>
    <w:basedOn w:val="Normal"/>
    <w:next w:val="Normal"/>
    <w:link w:val="IntenseQuoteChar"/>
    <w:uiPriority w:val="30"/>
    <w:qFormat/>
    <w:rsid w:val="00A71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EC3"/>
    <w:rPr>
      <w:i/>
      <w:iCs/>
      <w:color w:val="0F4761" w:themeColor="accent1" w:themeShade="BF"/>
    </w:rPr>
  </w:style>
  <w:style w:type="character" w:styleId="IntenseReference">
    <w:name w:val="Intense Reference"/>
    <w:basedOn w:val="DefaultParagraphFont"/>
    <w:uiPriority w:val="32"/>
    <w:qFormat/>
    <w:rsid w:val="00A71EC3"/>
    <w:rPr>
      <w:b/>
      <w:bCs/>
      <w:smallCaps/>
      <w:color w:val="0F4761" w:themeColor="accent1" w:themeShade="BF"/>
      <w:spacing w:val="5"/>
    </w:rPr>
  </w:style>
  <w:style w:type="character" w:styleId="Hyperlink">
    <w:name w:val="Hyperlink"/>
    <w:basedOn w:val="DefaultParagraphFont"/>
    <w:uiPriority w:val="99"/>
    <w:unhideWhenUsed/>
    <w:rsid w:val="00A71EC3"/>
    <w:rPr>
      <w:color w:val="467886" w:themeColor="hyperlink"/>
      <w:u w:val="single"/>
    </w:rPr>
  </w:style>
  <w:style w:type="character" w:styleId="UnresolvedMention">
    <w:name w:val="Unresolved Mention"/>
    <w:basedOn w:val="DefaultParagraphFont"/>
    <w:uiPriority w:val="99"/>
    <w:semiHidden/>
    <w:unhideWhenUsed/>
    <w:rsid w:val="00A71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2587</Characters>
  <Application>Microsoft Office Word</Application>
  <DocSecurity>0</DocSecurity>
  <Lines>69</Lines>
  <Paragraphs>43</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1</cp:revision>
  <dcterms:created xsi:type="dcterms:W3CDTF">2026-09-28T13:05:00Z</dcterms:created>
  <dcterms:modified xsi:type="dcterms:W3CDTF">2026-09-28T13:06:00Z</dcterms:modified>
</cp:coreProperties>
</file>