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2E226" w14:textId="77777777" w:rsidR="00BC1DD5" w:rsidRPr="00BC1DD5" w:rsidRDefault="00BC1DD5" w:rsidP="00BC1DD5">
      <w:pPr>
        <w:spacing w:after="0" w:line="480" w:lineRule="auto"/>
        <w:rPr>
          <w:rFonts w:ascii="Arial" w:hAnsi="Arial" w:cs="Arial"/>
          <w:b/>
          <w:bCs/>
        </w:rPr>
      </w:pPr>
      <w:r w:rsidRPr="00BC1DD5">
        <w:rPr>
          <w:rFonts w:ascii="Arial" w:hAnsi="Arial" w:cs="Arial"/>
          <w:b/>
          <w:bCs/>
        </w:rPr>
        <w:t>Collaborative Discussion 1 - The Data Collection Process</w:t>
      </w:r>
    </w:p>
    <w:p w14:paraId="532A4ABE" w14:textId="5653DAFF" w:rsidR="00BC1DD5" w:rsidRPr="00BC1DD5" w:rsidRDefault="00BC1DD5" w:rsidP="00BC1DD5">
      <w:pPr>
        <w:spacing w:after="0" w:line="480" w:lineRule="auto"/>
        <w:rPr>
          <w:rFonts w:ascii="Arial" w:hAnsi="Arial" w:cs="Arial"/>
          <w:b/>
          <w:bCs/>
        </w:rPr>
      </w:pPr>
      <w:r w:rsidRPr="00BC1DD5">
        <w:rPr>
          <w:rFonts w:ascii="Arial" w:hAnsi="Arial" w:cs="Arial"/>
          <w:b/>
          <w:bCs/>
        </w:rPr>
        <w:t>Initial Post</w:t>
      </w:r>
    </w:p>
    <w:p w14:paraId="4C16A500" w14:textId="77777777" w:rsidR="00BC1DD5" w:rsidRPr="00BC1DD5" w:rsidRDefault="00BC1DD5" w:rsidP="00BC1DD5">
      <w:pPr>
        <w:spacing w:after="0" w:line="480" w:lineRule="auto"/>
        <w:rPr>
          <w:rFonts w:ascii="Arial" w:hAnsi="Arial" w:cs="Arial"/>
        </w:rPr>
      </w:pPr>
      <w:r w:rsidRPr="00BC1DD5">
        <w:rPr>
          <w:rFonts w:ascii="Arial" w:hAnsi="Arial" w:cs="Arial"/>
        </w:rPr>
        <w:t>The Internet of Things (IoT) refers to a network of connected devices, such as wearable technology, smart home systems and industrial sensors, that continuously collect and exchange data over the internet. The rationale behind IoT is to generate real-time information that helps organisations make faster, more informed decisions, improve efficiency and automate processes. However, as Huxley et al. (2020) argue, simply collecting more data does not automatically lead to better outcomes. The value of IoT depends on the quality, reliability and management of the data collected, making data cleaning a critical part of the process.</w:t>
      </w:r>
    </w:p>
    <w:p w14:paraId="1BC4DC00" w14:textId="77777777" w:rsidR="00BC1DD5" w:rsidRPr="00BC1DD5" w:rsidRDefault="00BC1DD5" w:rsidP="00BC1DD5">
      <w:pPr>
        <w:spacing w:after="0" w:line="480" w:lineRule="auto"/>
        <w:rPr>
          <w:rFonts w:ascii="Arial" w:hAnsi="Arial" w:cs="Arial"/>
        </w:rPr>
      </w:pPr>
      <w:r w:rsidRPr="00BC1DD5">
        <w:rPr>
          <w:rFonts w:ascii="Arial" w:hAnsi="Arial" w:cs="Arial"/>
        </w:rPr>
        <w:t>One of the main opportunities of IoT is its ability to provide continuous streams of real-time data. In healthcare, wearable devices can monitor patients remotely, allowing clinicians to identify health problems earlier and potentially improve patient outcomes. In manufacturing, sensors can predict equipment failures before they occur, reducing downtime and maintenance costs (Lee, Bagheri and Kao, 2015). These examples demonstrate how IoT can improve productivity and support evidence-based decision-making. However, these benefits are only realised if the data collected is accurate and trustworthy. As Huxley et al. (2020) explain, poor-quality data can result in incorrect analysis and poor organisational decisions, showing that data quality is more important than data quantity.</w:t>
      </w:r>
    </w:p>
    <w:p w14:paraId="6A38AE29" w14:textId="77777777" w:rsidR="00BC1DD5" w:rsidRPr="00BC1DD5" w:rsidRDefault="00BC1DD5" w:rsidP="00BC1DD5">
      <w:pPr>
        <w:spacing w:after="0" w:line="480" w:lineRule="auto"/>
        <w:rPr>
          <w:rFonts w:ascii="Arial" w:hAnsi="Arial" w:cs="Arial"/>
        </w:rPr>
      </w:pPr>
      <w:r w:rsidRPr="00BC1DD5">
        <w:rPr>
          <w:rFonts w:ascii="Arial" w:hAnsi="Arial" w:cs="Arial"/>
        </w:rPr>
        <w:t xml:space="preserve">Despite its advantages, IoT also has several limitations. Large-scale data collection creates significant challenges because organisations must manage huge volumes of data that are generated rapidly and in many different formats. These characteristics, often referred to as the volume, velocity and variety of big data, make it difficult to store, integrate and analyse information efficiently (Sardar and Pandey, 2024). </w:t>
      </w:r>
      <w:r w:rsidRPr="00BC1DD5">
        <w:rPr>
          <w:rFonts w:ascii="Arial" w:hAnsi="Arial" w:cs="Arial"/>
        </w:rPr>
        <w:lastRenderedPageBreak/>
        <w:t>Huxley et al. (2020) highlight that missing values, duplicate records and inconsistent data are common problems that require automated data cleaning techniques. Similarly, McKinney (2022) explains that data wrangling tools such as Pandas are essential because manually cleaning large datasets is unrealistic.</w:t>
      </w:r>
    </w:p>
    <w:p w14:paraId="1B7E43A6" w14:textId="77777777" w:rsidR="00BC1DD5" w:rsidRPr="00BC1DD5" w:rsidRDefault="00BC1DD5" w:rsidP="00BC1DD5">
      <w:pPr>
        <w:spacing w:after="0" w:line="480" w:lineRule="auto"/>
        <w:rPr>
          <w:rFonts w:ascii="Arial" w:hAnsi="Arial" w:cs="Arial"/>
        </w:rPr>
      </w:pPr>
      <w:r w:rsidRPr="00BC1DD5">
        <w:rPr>
          <w:rFonts w:ascii="Arial" w:hAnsi="Arial" w:cs="Arial"/>
        </w:rPr>
        <w:t>IoT also introduces important risks. Many connected devices have limited computing power, making it difficult to implement strong security controls. This increases the risk of cyberattacks, unauthorised access and data breaches. For example, the Mirai botnet attack demonstrated how vulnerable IoT devices can be exploited to disrupt internet services on a global scale (Kolias </w:t>
      </w:r>
      <w:r w:rsidRPr="00BC1DD5">
        <w:rPr>
          <w:rFonts w:ascii="Arial" w:hAnsi="Arial" w:cs="Arial"/>
          <w:i/>
          <w:iCs/>
        </w:rPr>
        <w:t>et al</w:t>
      </w:r>
      <w:r w:rsidRPr="00BC1DD5">
        <w:rPr>
          <w:rFonts w:ascii="Arial" w:hAnsi="Arial" w:cs="Arial"/>
        </w:rPr>
        <w:t>., 2017). Furthermore, the continuous collection of personal information raises concerns about privacy, informed consent and compliance with legislation such as the UK GDPR. Organisations therefore have a responsibility to ensure that personal data is collected ethically, stored securely and only used for legitimate purposes.</w:t>
      </w:r>
    </w:p>
    <w:p w14:paraId="55F5E83B" w14:textId="77777777" w:rsidR="00BC1DD5" w:rsidRPr="00BC1DD5" w:rsidRDefault="00BC1DD5" w:rsidP="00BC1DD5">
      <w:pPr>
        <w:spacing w:after="0" w:line="480" w:lineRule="auto"/>
        <w:rPr>
          <w:rFonts w:ascii="Arial" w:hAnsi="Arial" w:cs="Arial"/>
        </w:rPr>
      </w:pPr>
      <w:r w:rsidRPr="00BC1DD5">
        <w:rPr>
          <w:rFonts w:ascii="Arial" w:hAnsi="Arial" w:cs="Arial"/>
        </w:rPr>
        <w:t>Overall, the rationale behind IoT is clear: it enables organisations to use real-time data to improve decision-making, efficiency and innovation. However, Huxley et al. (2020) demonstrate that the success of IoT depends not on how much data is collected, but on how well that data is cleaned, managed and protected. While IoT creates significant opportunities, it also introduces limitations, risks and challenges that cannot be ignored. Therefore, organisations should view data governance, security and data quality as essential components of any successful IoT strategy, rather than focusing solely on collecting larger amounts of data.</w:t>
      </w:r>
    </w:p>
    <w:p w14:paraId="0A8405B5" w14:textId="77777777" w:rsidR="00BC1DD5" w:rsidRDefault="00BC1DD5" w:rsidP="00BC1DD5">
      <w:pPr>
        <w:spacing w:after="0" w:line="480" w:lineRule="auto"/>
        <w:rPr>
          <w:rFonts w:ascii="Arial" w:hAnsi="Arial" w:cs="Arial"/>
          <w:b/>
          <w:bCs/>
        </w:rPr>
      </w:pPr>
    </w:p>
    <w:p w14:paraId="573531B9" w14:textId="77777777" w:rsidR="00BC1DD5" w:rsidRDefault="00BC1DD5" w:rsidP="00BC1DD5">
      <w:pPr>
        <w:spacing w:after="0" w:line="480" w:lineRule="auto"/>
        <w:rPr>
          <w:rFonts w:ascii="Arial" w:hAnsi="Arial" w:cs="Arial"/>
          <w:b/>
          <w:bCs/>
        </w:rPr>
      </w:pPr>
    </w:p>
    <w:p w14:paraId="4EA21A98" w14:textId="77777777" w:rsidR="00BC1DD5" w:rsidRDefault="00BC1DD5" w:rsidP="00BC1DD5">
      <w:pPr>
        <w:spacing w:after="0" w:line="480" w:lineRule="auto"/>
        <w:rPr>
          <w:rFonts w:ascii="Arial" w:hAnsi="Arial" w:cs="Arial"/>
          <w:b/>
          <w:bCs/>
        </w:rPr>
      </w:pPr>
    </w:p>
    <w:p w14:paraId="148F5365" w14:textId="77777777" w:rsidR="00BC1DD5" w:rsidRDefault="00BC1DD5" w:rsidP="00BC1DD5">
      <w:pPr>
        <w:spacing w:after="0" w:line="480" w:lineRule="auto"/>
        <w:rPr>
          <w:rFonts w:ascii="Arial" w:hAnsi="Arial" w:cs="Arial"/>
          <w:b/>
          <w:bCs/>
        </w:rPr>
      </w:pPr>
    </w:p>
    <w:p w14:paraId="55DB10B9" w14:textId="3BE32857" w:rsidR="00BC1DD5" w:rsidRPr="00BC1DD5" w:rsidRDefault="00BC1DD5" w:rsidP="00BC1DD5">
      <w:pPr>
        <w:spacing w:after="0" w:line="480" w:lineRule="auto"/>
        <w:rPr>
          <w:rFonts w:ascii="Arial" w:hAnsi="Arial" w:cs="Arial"/>
        </w:rPr>
      </w:pPr>
      <w:r w:rsidRPr="00BC1DD5">
        <w:rPr>
          <w:rFonts w:ascii="Arial" w:hAnsi="Arial" w:cs="Arial"/>
          <w:b/>
          <w:bCs/>
        </w:rPr>
        <w:lastRenderedPageBreak/>
        <w:t>References</w:t>
      </w:r>
    </w:p>
    <w:p w14:paraId="501D7B9F" w14:textId="77777777" w:rsidR="00BC1DD5" w:rsidRPr="00BC1DD5" w:rsidRDefault="00BC1DD5" w:rsidP="00BC1DD5">
      <w:pPr>
        <w:spacing w:after="0" w:line="480" w:lineRule="auto"/>
        <w:rPr>
          <w:rFonts w:ascii="Arial" w:hAnsi="Arial" w:cs="Arial"/>
        </w:rPr>
      </w:pPr>
      <w:r w:rsidRPr="00BC1DD5">
        <w:rPr>
          <w:rFonts w:ascii="Arial" w:hAnsi="Arial" w:cs="Arial"/>
        </w:rPr>
        <w:t>1) Huxley, K. (2020) ‘Data cleaning’. In: Atkinson, P., Delamont, S., Cernat, A., Sakshaug, J.W. and Williams, R.A. (eds.) </w:t>
      </w:r>
      <w:r w:rsidRPr="00BC1DD5">
        <w:rPr>
          <w:rFonts w:ascii="Arial" w:hAnsi="Arial" w:cs="Arial"/>
          <w:i/>
          <w:iCs/>
        </w:rPr>
        <w:t>SAGE Research Methods Foundations</w:t>
      </w:r>
      <w:r w:rsidRPr="00BC1DD5">
        <w:rPr>
          <w:rFonts w:ascii="Arial" w:hAnsi="Arial" w:cs="Arial"/>
        </w:rPr>
        <w:t>. London: SAGE Publications Ltd. Available at: </w:t>
      </w:r>
      <w:hyperlink r:id="rId6" w:history="1">
        <w:r w:rsidRPr="00BC1DD5">
          <w:rPr>
            <w:rStyle w:val="Hyperlink"/>
            <w:rFonts w:ascii="Arial" w:hAnsi="Arial" w:cs="Arial"/>
            <w:b/>
            <w:bCs/>
          </w:rPr>
          <w:t>https://doi.org/10.4135/9781526421036842861</w:t>
        </w:r>
      </w:hyperlink>
      <w:r w:rsidRPr="00BC1DD5">
        <w:rPr>
          <w:rFonts w:ascii="Arial" w:hAnsi="Arial" w:cs="Arial"/>
        </w:rPr>
        <w:t> (Accessed 2 August 2026)</w:t>
      </w:r>
    </w:p>
    <w:p w14:paraId="161C6A9D" w14:textId="77777777" w:rsidR="00BC1DD5" w:rsidRPr="00BC1DD5" w:rsidRDefault="00BC1DD5" w:rsidP="00BC1DD5">
      <w:pPr>
        <w:spacing w:after="0" w:line="480" w:lineRule="auto"/>
        <w:rPr>
          <w:rFonts w:ascii="Arial" w:hAnsi="Arial" w:cs="Arial"/>
        </w:rPr>
      </w:pPr>
      <w:r w:rsidRPr="00BC1DD5">
        <w:rPr>
          <w:rFonts w:ascii="Arial" w:hAnsi="Arial" w:cs="Arial"/>
        </w:rPr>
        <w:t xml:space="preserve">2) Kolias, C., </w:t>
      </w:r>
      <w:proofErr w:type="spellStart"/>
      <w:r w:rsidRPr="00BC1DD5">
        <w:rPr>
          <w:rFonts w:ascii="Arial" w:hAnsi="Arial" w:cs="Arial"/>
        </w:rPr>
        <w:t>Kambourakis</w:t>
      </w:r>
      <w:proofErr w:type="spellEnd"/>
      <w:r w:rsidRPr="00BC1DD5">
        <w:rPr>
          <w:rFonts w:ascii="Arial" w:hAnsi="Arial" w:cs="Arial"/>
        </w:rPr>
        <w:t xml:space="preserve">, G., Stavrou, A. and </w:t>
      </w:r>
      <w:proofErr w:type="spellStart"/>
      <w:r w:rsidRPr="00BC1DD5">
        <w:rPr>
          <w:rFonts w:ascii="Arial" w:hAnsi="Arial" w:cs="Arial"/>
        </w:rPr>
        <w:t>Voas</w:t>
      </w:r>
      <w:proofErr w:type="spellEnd"/>
      <w:r w:rsidRPr="00BC1DD5">
        <w:rPr>
          <w:rFonts w:ascii="Arial" w:hAnsi="Arial" w:cs="Arial"/>
        </w:rPr>
        <w:t>, J. (2017) ‘DDoS in the IoT: Mirai and other botnets’, </w:t>
      </w:r>
      <w:r w:rsidRPr="00BC1DD5">
        <w:rPr>
          <w:rFonts w:ascii="Arial" w:hAnsi="Arial" w:cs="Arial"/>
          <w:i/>
          <w:iCs/>
        </w:rPr>
        <w:t>Computer</w:t>
      </w:r>
      <w:r w:rsidRPr="00BC1DD5">
        <w:rPr>
          <w:rFonts w:ascii="Arial" w:hAnsi="Arial" w:cs="Arial"/>
        </w:rPr>
        <w:t>, 50(7), pp. 80–84.</w:t>
      </w:r>
    </w:p>
    <w:p w14:paraId="5B32D96F" w14:textId="77777777" w:rsidR="00BC1DD5" w:rsidRPr="00BC1DD5" w:rsidRDefault="00BC1DD5" w:rsidP="00BC1DD5">
      <w:pPr>
        <w:spacing w:after="0" w:line="480" w:lineRule="auto"/>
        <w:rPr>
          <w:rFonts w:ascii="Arial" w:hAnsi="Arial" w:cs="Arial"/>
        </w:rPr>
      </w:pPr>
      <w:r w:rsidRPr="00BC1DD5">
        <w:rPr>
          <w:rFonts w:ascii="Arial" w:hAnsi="Arial" w:cs="Arial"/>
        </w:rPr>
        <w:t>3) Lee, J., Bagheri, B. and Kao, H.A. (2015) ‘A cyber-physical systems architecture for Industry 4.0-based manufacturing systems’, </w:t>
      </w:r>
      <w:r w:rsidRPr="00BC1DD5">
        <w:rPr>
          <w:rFonts w:ascii="Arial" w:hAnsi="Arial" w:cs="Arial"/>
          <w:i/>
          <w:iCs/>
        </w:rPr>
        <w:t>Manufacturing Letters</w:t>
      </w:r>
      <w:r w:rsidRPr="00BC1DD5">
        <w:rPr>
          <w:rFonts w:ascii="Arial" w:hAnsi="Arial" w:cs="Arial"/>
        </w:rPr>
        <w:t>, 3, pp. 18–23.</w:t>
      </w:r>
    </w:p>
    <w:p w14:paraId="48CC4D57" w14:textId="77777777" w:rsidR="00BC1DD5" w:rsidRPr="00BC1DD5" w:rsidRDefault="00BC1DD5" w:rsidP="00BC1DD5">
      <w:pPr>
        <w:spacing w:after="0" w:line="480" w:lineRule="auto"/>
        <w:rPr>
          <w:rFonts w:ascii="Arial" w:hAnsi="Arial" w:cs="Arial"/>
        </w:rPr>
      </w:pPr>
      <w:r w:rsidRPr="00BC1DD5">
        <w:rPr>
          <w:rFonts w:ascii="Arial" w:hAnsi="Arial" w:cs="Arial"/>
        </w:rPr>
        <w:t>4) McKinney, W. (2022) </w:t>
      </w:r>
      <w:r w:rsidRPr="00BC1DD5">
        <w:rPr>
          <w:rFonts w:ascii="Arial" w:hAnsi="Arial" w:cs="Arial"/>
          <w:i/>
          <w:iCs/>
        </w:rPr>
        <w:t>Python for Data Analysis: Data Wrangling with Pandas, NumPy, and Jupyter</w:t>
      </w:r>
      <w:r w:rsidRPr="00BC1DD5">
        <w:rPr>
          <w:rFonts w:ascii="Arial" w:hAnsi="Arial" w:cs="Arial"/>
        </w:rPr>
        <w:t>. 3rd edn. Sebastopol, CA: O'Reilly Media.</w:t>
      </w:r>
    </w:p>
    <w:p w14:paraId="60BFF086" w14:textId="77777777" w:rsidR="00BC1DD5" w:rsidRPr="00BC1DD5" w:rsidRDefault="00BC1DD5" w:rsidP="00BC1DD5">
      <w:pPr>
        <w:spacing w:after="0" w:line="480" w:lineRule="auto"/>
        <w:rPr>
          <w:rFonts w:ascii="Arial" w:hAnsi="Arial" w:cs="Arial"/>
        </w:rPr>
      </w:pPr>
      <w:r w:rsidRPr="00BC1DD5">
        <w:rPr>
          <w:rFonts w:ascii="Arial" w:hAnsi="Arial" w:cs="Arial"/>
        </w:rPr>
        <w:t>5) Sardar, T.H. and Pandey, B.K. (2024) </w:t>
      </w:r>
      <w:r w:rsidRPr="00BC1DD5">
        <w:rPr>
          <w:rFonts w:ascii="Arial" w:hAnsi="Arial" w:cs="Arial"/>
          <w:i/>
          <w:iCs/>
        </w:rPr>
        <w:t>Big Data Computing</w:t>
      </w:r>
      <w:r w:rsidRPr="00BC1DD5">
        <w:rPr>
          <w:rFonts w:ascii="Arial" w:hAnsi="Arial" w:cs="Arial"/>
        </w:rPr>
        <w:t>. Boca Raton, FL: CRC Press</w:t>
      </w:r>
    </w:p>
    <w:p w14:paraId="55FC366A" w14:textId="77777777" w:rsidR="00BC1DD5" w:rsidRPr="00BC1DD5" w:rsidRDefault="00BC1DD5" w:rsidP="00BC1DD5">
      <w:pPr>
        <w:spacing w:after="0" w:line="480" w:lineRule="auto"/>
        <w:rPr>
          <w:rFonts w:ascii="Arial" w:hAnsi="Arial" w:cs="Arial"/>
        </w:rPr>
      </w:pPr>
    </w:p>
    <w:sectPr w:rsidR="00BC1DD5" w:rsidRPr="00BC1DD5">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B154D" w14:textId="77777777" w:rsidR="000644FC" w:rsidRDefault="000644FC" w:rsidP="00BC1DD5">
      <w:pPr>
        <w:spacing w:after="0" w:line="240" w:lineRule="auto"/>
      </w:pPr>
      <w:r>
        <w:separator/>
      </w:r>
    </w:p>
  </w:endnote>
  <w:endnote w:type="continuationSeparator" w:id="0">
    <w:p w14:paraId="2E6161A9" w14:textId="77777777" w:rsidR="000644FC" w:rsidRDefault="000644FC" w:rsidP="00BC1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6503500"/>
      <w:docPartObj>
        <w:docPartGallery w:val="Page Numbers (Bottom of Page)"/>
        <w:docPartUnique/>
      </w:docPartObj>
    </w:sdtPr>
    <w:sdtEndPr>
      <w:rPr>
        <w:noProof/>
      </w:rPr>
    </w:sdtEndPr>
    <w:sdtContent>
      <w:p w14:paraId="199D9235" w14:textId="651CC417" w:rsidR="00BC1DD5" w:rsidRDefault="00BC1D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244E84" w14:textId="77777777" w:rsidR="00BC1DD5" w:rsidRDefault="00BC1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E1DAC" w14:textId="77777777" w:rsidR="000644FC" w:rsidRDefault="000644FC" w:rsidP="00BC1DD5">
      <w:pPr>
        <w:spacing w:after="0" w:line="240" w:lineRule="auto"/>
      </w:pPr>
      <w:r>
        <w:separator/>
      </w:r>
    </w:p>
  </w:footnote>
  <w:footnote w:type="continuationSeparator" w:id="0">
    <w:p w14:paraId="50607073" w14:textId="77777777" w:rsidR="000644FC" w:rsidRDefault="000644FC" w:rsidP="00BC1DD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DD5"/>
    <w:rsid w:val="000644FC"/>
    <w:rsid w:val="007D2A6B"/>
    <w:rsid w:val="00B531F7"/>
    <w:rsid w:val="00BC1DD5"/>
    <w:rsid w:val="00E11A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52834"/>
  <w15:chartTrackingRefBased/>
  <w15:docId w15:val="{6373BA06-E564-46F7-9283-CC12F526F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D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D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DD5"/>
    <w:rPr>
      <w:rFonts w:eastAsiaTheme="majorEastAsia" w:cstheme="majorBidi"/>
      <w:color w:val="272727" w:themeColor="text1" w:themeTint="D8"/>
    </w:rPr>
  </w:style>
  <w:style w:type="paragraph" w:styleId="Title">
    <w:name w:val="Title"/>
    <w:basedOn w:val="Normal"/>
    <w:next w:val="Normal"/>
    <w:link w:val="TitleChar"/>
    <w:uiPriority w:val="10"/>
    <w:qFormat/>
    <w:rsid w:val="00BC1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DD5"/>
    <w:pPr>
      <w:spacing w:before="160"/>
      <w:jc w:val="center"/>
    </w:pPr>
    <w:rPr>
      <w:i/>
      <w:iCs/>
      <w:color w:val="404040" w:themeColor="text1" w:themeTint="BF"/>
    </w:rPr>
  </w:style>
  <w:style w:type="character" w:customStyle="1" w:styleId="QuoteChar">
    <w:name w:val="Quote Char"/>
    <w:basedOn w:val="DefaultParagraphFont"/>
    <w:link w:val="Quote"/>
    <w:uiPriority w:val="29"/>
    <w:rsid w:val="00BC1DD5"/>
    <w:rPr>
      <w:i/>
      <w:iCs/>
      <w:color w:val="404040" w:themeColor="text1" w:themeTint="BF"/>
    </w:rPr>
  </w:style>
  <w:style w:type="paragraph" w:styleId="ListParagraph">
    <w:name w:val="List Paragraph"/>
    <w:basedOn w:val="Normal"/>
    <w:uiPriority w:val="34"/>
    <w:qFormat/>
    <w:rsid w:val="00BC1DD5"/>
    <w:pPr>
      <w:ind w:left="720"/>
      <w:contextualSpacing/>
    </w:pPr>
  </w:style>
  <w:style w:type="character" w:styleId="IntenseEmphasis">
    <w:name w:val="Intense Emphasis"/>
    <w:basedOn w:val="DefaultParagraphFont"/>
    <w:uiPriority w:val="21"/>
    <w:qFormat/>
    <w:rsid w:val="00BC1DD5"/>
    <w:rPr>
      <w:i/>
      <w:iCs/>
      <w:color w:val="0F4761" w:themeColor="accent1" w:themeShade="BF"/>
    </w:rPr>
  </w:style>
  <w:style w:type="paragraph" w:styleId="IntenseQuote">
    <w:name w:val="Intense Quote"/>
    <w:basedOn w:val="Normal"/>
    <w:next w:val="Normal"/>
    <w:link w:val="IntenseQuoteChar"/>
    <w:uiPriority w:val="30"/>
    <w:qFormat/>
    <w:rsid w:val="00BC1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DD5"/>
    <w:rPr>
      <w:i/>
      <w:iCs/>
      <w:color w:val="0F4761" w:themeColor="accent1" w:themeShade="BF"/>
    </w:rPr>
  </w:style>
  <w:style w:type="character" w:styleId="IntenseReference">
    <w:name w:val="Intense Reference"/>
    <w:basedOn w:val="DefaultParagraphFont"/>
    <w:uiPriority w:val="32"/>
    <w:qFormat/>
    <w:rsid w:val="00BC1DD5"/>
    <w:rPr>
      <w:b/>
      <w:bCs/>
      <w:smallCaps/>
      <w:color w:val="0F4761" w:themeColor="accent1" w:themeShade="BF"/>
      <w:spacing w:val="5"/>
    </w:rPr>
  </w:style>
  <w:style w:type="character" w:styleId="Hyperlink">
    <w:name w:val="Hyperlink"/>
    <w:basedOn w:val="DefaultParagraphFont"/>
    <w:uiPriority w:val="99"/>
    <w:unhideWhenUsed/>
    <w:rsid w:val="00BC1DD5"/>
    <w:rPr>
      <w:color w:val="467886" w:themeColor="hyperlink"/>
      <w:u w:val="single"/>
    </w:rPr>
  </w:style>
  <w:style w:type="character" w:styleId="UnresolvedMention">
    <w:name w:val="Unresolved Mention"/>
    <w:basedOn w:val="DefaultParagraphFont"/>
    <w:uiPriority w:val="99"/>
    <w:semiHidden/>
    <w:unhideWhenUsed/>
    <w:rsid w:val="00BC1DD5"/>
    <w:rPr>
      <w:color w:val="605E5C"/>
      <w:shd w:val="clear" w:color="auto" w:fill="E1DFDD"/>
    </w:rPr>
  </w:style>
  <w:style w:type="paragraph" w:styleId="Header">
    <w:name w:val="header"/>
    <w:basedOn w:val="Normal"/>
    <w:link w:val="HeaderChar"/>
    <w:uiPriority w:val="99"/>
    <w:unhideWhenUsed/>
    <w:rsid w:val="00BC1D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1DD5"/>
  </w:style>
  <w:style w:type="paragraph" w:styleId="Footer">
    <w:name w:val="footer"/>
    <w:basedOn w:val="Normal"/>
    <w:link w:val="FooterChar"/>
    <w:uiPriority w:val="99"/>
    <w:unhideWhenUsed/>
    <w:rsid w:val="00BC1D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1D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4135/9781526421036842861"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3</TotalTime>
  <Pages>3</Pages>
  <Words>638</Words>
  <Characters>3810</Characters>
  <Application>Microsoft Office Word</Application>
  <DocSecurity>0</DocSecurity>
  <Lines>60</Lines>
  <Paragraphs>14</Paragraphs>
  <ScaleCrop>false</ScaleCrop>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NWANKWO, Chika (THE ROBERT JONES AND AGNES HUNT ORTHOPAEDIC HOSPITAL)</dc:creator>
  <cp:keywords/>
  <dc:description/>
  <cp:lastModifiedBy>NWANKWO, Chika (THE ROBERT JONES AND AGNES HUNT ORTHOPAEDIC HOSPITAL)</cp:lastModifiedBy>
  <cp:revision>2</cp:revision>
  <dcterms:created xsi:type="dcterms:W3CDTF">2026-08-05T07:21:00Z</dcterms:created>
  <dcterms:modified xsi:type="dcterms:W3CDTF">2026-08-05T07:24:00Z</dcterms:modified>
</cp:coreProperties>
</file>