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E3E5" w14:textId="72E5A1C2" w:rsidR="00DA747E" w:rsidRPr="00DA747E" w:rsidRDefault="00DA747E" w:rsidP="00DA747E">
      <w:pPr>
        <w:rPr>
          <w:b/>
          <w:bCs/>
        </w:rPr>
      </w:pPr>
      <w:r w:rsidRPr="00DA747E">
        <w:rPr>
          <w:b/>
          <w:bCs/>
        </w:rPr>
        <w:t>Scenario-Based Exercise – 95% Confidence Interval</w:t>
      </w:r>
    </w:p>
    <w:p w14:paraId="56CAE2BE" w14:textId="77777777" w:rsidR="00DA747E" w:rsidRPr="00134316" w:rsidRDefault="00DA747E" w:rsidP="00DD3053">
      <w:pPr>
        <w:rPr>
          <w:sz w:val="22"/>
          <w:szCs w:val="22"/>
          <w:u w:val="single"/>
        </w:rPr>
      </w:pPr>
      <w:r w:rsidRPr="00134316">
        <w:rPr>
          <w:sz w:val="22"/>
          <w:szCs w:val="22"/>
          <w:u w:val="single"/>
        </w:rPr>
        <w:t>Unit 8 – Scenario-Based Exercise: Comparison of Training Vendors</w:t>
      </w:r>
    </w:p>
    <w:p w14:paraId="1C4D7116" w14:textId="252F3CB8" w:rsidR="00DA747E" w:rsidRPr="00DA747E" w:rsidRDefault="00DA747E" w:rsidP="00DA747E">
      <w:pPr>
        <w:rPr>
          <w:sz w:val="22"/>
          <w:szCs w:val="22"/>
        </w:rPr>
      </w:pPr>
      <w:r w:rsidRPr="00DA747E">
        <w:rPr>
          <w:sz w:val="22"/>
          <w:szCs w:val="22"/>
        </w:rPr>
        <w:t>In this exercise, I used R to compare employee efficiency scores following training delivered by three different vendors. I first entered the scores for each vendor and calculated the mean efficiency scores. Vendor 2 had the highest mean score (51.00), followed by Vendor 1 (44.71) and Vendor 3 (27.71).</w:t>
      </w:r>
    </w:p>
    <w:p w14:paraId="61F82CFC" w14:textId="6E9C0524" w:rsidR="00DA747E" w:rsidRPr="00DA747E" w:rsidRDefault="00DA747E" w:rsidP="00DA747E">
      <w:pPr>
        <w:rPr>
          <w:sz w:val="22"/>
          <w:szCs w:val="22"/>
        </w:rPr>
      </w:pPr>
      <w:r w:rsidRPr="00DA747E">
        <w:rPr>
          <w:sz w:val="22"/>
          <w:szCs w:val="22"/>
        </w:rPr>
        <w:t>As the analysis involved three independent groups, I used a Kruskal–</w:t>
      </w:r>
      <w:proofErr w:type="gramStart"/>
      <w:r w:rsidRPr="00DA747E">
        <w:rPr>
          <w:sz w:val="22"/>
          <w:szCs w:val="22"/>
        </w:rPr>
        <w:t>Wallis</w:t>
      </w:r>
      <w:proofErr w:type="gramEnd"/>
      <w:r w:rsidRPr="00DA747E">
        <w:rPr>
          <w:sz w:val="22"/>
          <w:szCs w:val="22"/>
        </w:rPr>
        <w:t xml:space="preserve"> test to determine whether there was a statistically significant difference between the groups. The test showed a significant overall difference (χ</w:t>
      </w:r>
      <w:proofErr w:type="gramStart"/>
      <w:r w:rsidRPr="00DA747E">
        <w:rPr>
          <w:sz w:val="22"/>
          <w:szCs w:val="22"/>
        </w:rPr>
        <w:t>²(</w:t>
      </w:r>
      <w:proofErr w:type="gramEnd"/>
      <w:r w:rsidRPr="00DA747E">
        <w:rPr>
          <w:sz w:val="22"/>
          <w:szCs w:val="22"/>
        </w:rPr>
        <w:t>2) = 12.809, p = 0.001654), meaning the null hypothesis was rejected at the 95% significance level.</w:t>
      </w:r>
    </w:p>
    <w:p w14:paraId="08E2B124" w14:textId="5991DE59" w:rsidR="00DA747E" w:rsidRPr="00DA747E" w:rsidRDefault="00DA747E" w:rsidP="00DA747E">
      <w:pPr>
        <w:rPr>
          <w:sz w:val="22"/>
          <w:szCs w:val="22"/>
        </w:rPr>
      </w:pPr>
      <w:r w:rsidRPr="00DA747E">
        <w:drawing>
          <wp:anchor distT="0" distB="0" distL="114300" distR="114300" simplePos="0" relativeHeight="251658240" behindDoc="1" locked="0" layoutInCell="1" allowOverlap="1" wp14:anchorId="5C86A7CE" wp14:editId="4B8EC31C">
            <wp:simplePos x="0" y="0"/>
            <wp:positionH relativeFrom="margin">
              <wp:align>left</wp:align>
            </wp:positionH>
            <wp:positionV relativeFrom="paragraph">
              <wp:posOffset>1268730</wp:posOffset>
            </wp:positionV>
            <wp:extent cx="5374640" cy="5162550"/>
            <wp:effectExtent l="0" t="0" r="0" b="0"/>
            <wp:wrapTight wrapText="bothSides">
              <wp:wrapPolygon edited="0">
                <wp:start x="0" y="0"/>
                <wp:lineTo x="0" y="21520"/>
                <wp:lineTo x="21513" y="21520"/>
                <wp:lineTo x="21513" y="0"/>
                <wp:lineTo x="0" y="0"/>
              </wp:wrapPolygon>
            </wp:wrapTight>
            <wp:docPr id="14708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10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494" cy="5168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747E">
        <w:rPr>
          <w:sz w:val="22"/>
          <w:szCs w:val="22"/>
        </w:rPr>
        <w:t>I then performed pairwise Wilcoxon rank-sum tests with Bonferroni adjustment to identify where the differences occurred. Significant differences were found between Vendor 1 and Vendor 3 (</w:t>
      </w:r>
      <w:r w:rsidRPr="00DA747E">
        <w:rPr>
          <w:i/>
          <w:iCs/>
          <w:sz w:val="22"/>
          <w:szCs w:val="22"/>
        </w:rPr>
        <w:t>p</w:t>
      </w:r>
      <w:r w:rsidRPr="00DA747E">
        <w:rPr>
          <w:sz w:val="22"/>
          <w:szCs w:val="22"/>
        </w:rPr>
        <w:t xml:space="preserve"> = 0.0211) and between Vendor 2 and Vendor 3 (</w:t>
      </w:r>
      <w:r w:rsidRPr="00DA747E">
        <w:rPr>
          <w:i/>
          <w:iCs/>
          <w:sz w:val="22"/>
          <w:szCs w:val="22"/>
        </w:rPr>
        <w:t>p</w:t>
      </w:r>
      <w:r w:rsidRPr="00DA747E">
        <w:rPr>
          <w:sz w:val="22"/>
          <w:szCs w:val="22"/>
        </w:rPr>
        <w:t xml:space="preserve"> = 0.0064). There was no significant difference between Vendor 1 and Vendor 2 (</w:t>
      </w:r>
      <w:r w:rsidRPr="00DA747E">
        <w:rPr>
          <w:i/>
          <w:iCs/>
          <w:sz w:val="22"/>
          <w:szCs w:val="22"/>
        </w:rPr>
        <w:t>p</w:t>
      </w:r>
      <w:r w:rsidRPr="00DA747E">
        <w:rPr>
          <w:sz w:val="22"/>
          <w:szCs w:val="22"/>
        </w:rPr>
        <w:t xml:space="preserve"> = 0.6652). Therefore, although Vendor 2 achieved the highest mean score, its performance was not statistically significantly different from Vendor 1.</w:t>
      </w:r>
    </w:p>
    <w:p w14:paraId="5A5F75F2" w14:textId="1F09E48E" w:rsidR="009A5C3C" w:rsidRDefault="009A5C3C" w:rsidP="00DD3053"/>
    <w:sectPr w:rsidR="009A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53"/>
    <w:rsid w:val="00134316"/>
    <w:rsid w:val="009A5C3C"/>
    <w:rsid w:val="00B6241A"/>
    <w:rsid w:val="00DA747E"/>
    <w:rsid w:val="00DD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CAD4"/>
  <w15:chartTrackingRefBased/>
  <w15:docId w15:val="{FDE60A0C-8C2F-4A4C-90CD-78303327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197</Words>
  <Characters>1013</Characters>
  <Application>Microsoft Office Word</Application>
  <DocSecurity>0</DocSecurity>
  <Lines>168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NWANKWO, Chika (THE ROBERT JONES AND AGNES HUNT ORTHOPAEDIC HOSPITAL)</dc:creator>
  <cp:keywords/>
  <dc:description/>
  <cp:lastModifiedBy>NWANKWO, Chika (THE ROBERT JONES AND AGNES HUNT ORTHOPAEDIC HOSPITAL)</cp:lastModifiedBy>
  <cp:revision>2</cp:revision>
  <dcterms:created xsi:type="dcterms:W3CDTF">2026-09-08T09:43:00Z</dcterms:created>
  <dcterms:modified xsi:type="dcterms:W3CDTF">2026-09-08T10:24:00Z</dcterms:modified>
</cp:coreProperties>
</file>