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6831E" w14:textId="77777777" w:rsidR="00B14DF0" w:rsidRPr="00B14DF0" w:rsidRDefault="00B14DF0" w:rsidP="00B14DF0">
      <w:pPr>
        <w:rPr>
          <w:b/>
          <w:bCs/>
        </w:rPr>
      </w:pPr>
      <w:r w:rsidRPr="00B14DF0">
        <w:rPr>
          <w:b/>
          <w:bCs/>
        </w:rPr>
        <w:t>Initial Post</w:t>
      </w:r>
    </w:p>
    <w:p w14:paraId="05A0E6C0" w14:textId="77777777" w:rsidR="00B14DF0" w:rsidRPr="00B14DF0" w:rsidRDefault="00B14DF0" w:rsidP="00B14DF0">
      <w:r w:rsidRPr="00B14DF0">
        <w:t>Brown (1994) presents the responses of 550 general practitioners (GPs) to 24 statements about intrapartum care. Table II contains useful information but is lengthy, making the main findings difficult to identify quickly. I therefore separated selected results into three areas and used graphs to make the findings easier to compare.</w:t>
      </w:r>
    </w:p>
    <w:p w14:paraId="08C106DB" w14:textId="77777777" w:rsidR="00B14DF0" w:rsidRPr="00B14DF0" w:rsidRDefault="00B14DF0" w:rsidP="00B14DF0">
      <w:pPr>
        <w:rPr>
          <w:b/>
          <w:bCs/>
        </w:rPr>
      </w:pPr>
      <w:r w:rsidRPr="00B14DF0">
        <w:rPr>
          <w:b/>
          <w:bCs/>
        </w:rPr>
        <w:t>Barriers to Providing Intrapartum Care</w:t>
      </w:r>
    </w:p>
    <w:p w14:paraId="08607008" w14:textId="1A9F454D" w:rsidR="00FC5112" w:rsidRPr="00FC5112" w:rsidRDefault="00B14DF0" w:rsidP="00FC5112">
      <w:r w:rsidRPr="00FC5112">
        <w:drawing>
          <wp:anchor distT="0" distB="0" distL="114300" distR="114300" simplePos="0" relativeHeight="251658240" behindDoc="1" locked="0" layoutInCell="1" allowOverlap="1" wp14:anchorId="55B93851" wp14:editId="6F40B8F1">
            <wp:simplePos x="0" y="0"/>
            <wp:positionH relativeFrom="column">
              <wp:posOffset>63765</wp:posOffset>
            </wp:positionH>
            <wp:positionV relativeFrom="paragraph">
              <wp:posOffset>11179</wp:posOffset>
            </wp:positionV>
            <wp:extent cx="4029739" cy="4926036"/>
            <wp:effectExtent l="0" t="0" r="8890" b="8255"/>
            <wp:wrapTight wrapText="bothSides">
              <wp:wrapPolygon edited="0">
                <wp:start x="0" y="0"/>
                <wp:lineTo x="0" y="21553"/>
                <wp:lineTo x="21546" y="21553"/>
                <wp:lineTo x="21546" y="0"/>
                <wp:lineTo x="0" y="0"/>
              </wp:wrapPolygon>
            </wp:wrapTight>
            <wp:docPr id="1282594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594649" name=""/>
                    <pic:cNvPicPr/>
                  </pic:nvPicPr>
                  <pic:blipFill>
                    <a:blip r:embed="rId4">
                      <a:extLst>
                        <a:ext uri="{28A0092B-C50C-407E-A947-70E740481C1C}">
                          <a14:useLocalDpi xmlns:a14="http://schemas.microsoft.com/office/drawing/2010/main" val="0"/>
                        </a:ext>
                      </a:extLst>
                    </a:blip>
                    <a:stretch>
                      <a:fillRect/>
                    </a:stretch>
                  </pic:blipFill>
                  <pic:spPr>
                    <a:xfrm>
                      <a:off x="0" y="0"/>
                      <a:ext cx="4029739" cy="4926036"/>
                    </a:xfrm>
                    <a:prstGeom prst="rect">
                      <a:avLst/>
                    </a:prstGeom>
                  </pic:spPr>
                </pic:pic>
              </a:graphicData>
            </a:graphic>
            <wp14:sizeRelH relativeFrom="margin">
              <wp14:pctWidth>0</wp14:pctWidth>
            </wp14:sizeRelH>
            <wp14:sizeRelV relativeFrom="margin">
              <wp14:pctHeight>0</wp14:pctHeight>
            </wp14:sizeRelV>
          </wp:anchor>
        </w:drawing>
      </w:r>
    </w:p>
    <w:p w14:paraId="6C9C2269" w14:textId="2DF2E490" w:rsidR="00BC2842" w:rsidRDefault="00BC2842"/>
    <w:p w14:paraId="48FA82A4" w14:textId="339B973A" w:rsidR="00FC5112" w:rsidRDefault="00FC5112"/>
    <w:p w14:paraId="41291594" w14:textId="2A9909DC" w:rsidR="00FC5112" w:rsidRDefault="00FC5112"/>
    <w:p w14:paraId="54703F8C" w14:textId="76223D86" w:rsidR="00FC5112" w:rsidRDefault="00FC5112"/>
    <w:p w14:paraId="27A51EAB" w14:textId="0216491A" w:rsidR="00FC5112" w:rsidRDefault="00FC5112"/>
    <w:p w14:paraId="12EFEB76" w14:textId="579FA136" w:rsidR="00FC5112" w:rsidRDefault="00FC5112"/>
    <w:p w14:paraId="4F7C3160" w14:textId="5B54E759" w:rsidR="00FC5112" w:rsidRDefault="00FC5112"/>
    <w:p w14:paraId="6479772A" w14:textId="385F8BF4" w:rsidR="00FC5112" w:rsidRDefault="00FC5112"/>
    <w:p w14:paraId="234BFEC8" w14:textId="4C3098C2" w:rsidR="00FC5112" w:rsidRDefault="00FC5112"/>
    <w:p w14:paraId="229E3046" w14:textId="601E32C8" w:rsidR="00FC5112" w:rsidRDefault="00FC5112"/>
    <w:p w14:paraId="30649C25" w14:textId="1085CBC8" w:rsidR="00FC5112" w:rsidRDefault="00FC5112"/>
    <w:p w14:paraId="55C3AAC4" w14:textId="55FE5B8D" w:rsidR="00FC5112" w:rsidRDefault="00FC5112"/>
    <w:p w14:paraId="754F0018" w14:textId="77777777" w:rsidR="00B14DF0" w:rsidRDefault="00B14DF0" w:rsidP="00B14DF0">
      <w:pPr>
        <w:rPr>
          <w:b/>
          <w:bCs/>
        </w:rPr>
      </w:pPr>
    </w:p>
    <w:p w14:paraId="681A2FD2" w14:textId="77777777" w:rsidR="00B14DF0" w:rsidRDefault="00B14DF0" w:rsidP="00B14DF0">
      <w:pPr>
        <w:rPr>
          <w:b/>
          <w:bCs/>
        </w:rPr>
      </w:pPr>
    </w:p>
    <w:p w14:paraId="330C1878" w14:textId="77777777" w:rsidR="00B14DF0" w:rsidRDefault="00B14DF0" w:rsidP="00B14DF0">
      <w:pPr>
        <w:rPr>
          <w:b/>
          <w:bCs/>
        </w:rPr>
      </w:pPr>
    </w:p>
    <w:p w14:paraId="349414AB" w14:textId="77777777" w:rsidR="00B14DF0" w:rsidRPr="00B14DF0" w:rsidRDefault="00B14DF0" w:rsidP="00B14DF0">
      <w:pPr>
        <w:rPr>
          <w:i/>
          <w:iCs/>
        </w:rPr>
      </w:pPr>
      <w:r w:rsidRPr="00B14DF0">
        <w:rPr>
          <w:i/>
          <w:iCs/>
        </w:rPr>
        <w:t>Figure 1: Main Barriers to Providing Intrapartum Care</w:t>
      </w:r>
    </w:p>
    <w:p w14:paraId="2FE9C3F5" w14:textId="77777777" w:rsidR="00B14DF0" w:rsidRPr="00B14DF0" w:rsidRDefault="00B14DF0" w:rsidP="00B14DF0">
      <w:r w:rsidRPr="00B14DF0">
        <w:t xml:space="preserve">Figure 1 shows that current workload was the </w:t>
      </w:r>
      <w:proofErr w:type="gramStart"/>
      <w:r w:rsidRPr="00B14DF0">
        <w:t>most commonly reported</w:t>
      </w:r>
      <w:proofErr w:type="gramEnd"/>
      <w:r w:rsidRPr="00B14DF0">
        <w:t xml:space="preserve"> barrier (83%), followed by disruption to personal life (75%), fear of litigation (69%) and lack of confidence (49%) (Brown, 1994).</w:t>
      </w:r>
    </w:p>
    <w:p w14:paraId="70AD4972" w14:textId="77777777" w:rsidR="00B14DF0" w:rsidRDefault="00B14DF0" w:rsidP="00B14DF0">
      <w:pPr>
        <w:rPr>
          <w:b/>
          <w:bCs/>
        </w:rPr>
      </w:pPr>
    </w:p>
    <w:p w14:paraId="47FB89FA" w14:textId="77777777" w:rsidR="00B14DF0" w:rsidRDefault="00B14DF0" w:rsidP="00B14DF0">
      <w:pPr>
        <w:rPr>
          <w:b/>
          <w:bCs/>
        </w:rPr>
      </w:pPr>
    </w:p>
    <w:p w14:paraId="62C2F3A5" w14:textId="77777777" w:rsidR="00B14DF0" w:rsidRDefault="00B14DF0" w:rsidP="00B14DF0">
      <w:pPr>
        <w:rPr>
          <w:b/>
          <w:bCs/>
        </w:rPr>
      </w:pPr>
    </w:p>
    <w:p w14:paraId="52A4CA9C" w14:textId="0D91DA06" w:rsidR="00B14DF0" w:rsidRDefault="00B14DF0" w:rsidP="00B14DF0">
      <w:pPr>
        <w:rPr>
          <w:b/>
          <w:bCs/>
        </w:rPr>
      </w:pPr>
      <w:r w:rsidRPr="00B14DF0">
        <w:rPr>
          <w:b/>
          <w:bCs/>
        </w:rPr>
        <w:lastRenderedPageBreak/>
        <w:t>Willingness and Competence</w:t>
      </w:r>
    </w:p>
    <w:p w14:paraId="62701EF7" w14:textId="344D42FD" w:rsidR="00FC5112" w:rsidRDefault="00B14DF0">
      <w:r w:rsidRPr="00FC5112">
        <w:drawing>
          <wp:anchor distT="0" distB="0" distL="114300" distR="114300" simplePos="0" relativeHeight="251659264" behindDoc="1" locked="0" layoutInCell="1" allowOverlap="1" wp14:anchorId="12BF7A1E" wp14:editId="28B52F29">
            <wp:simplePos x="0" y="0"/>
            <wp:positionH relativeFrom="margin">
              <wp:align>left</wp:align>
            </wp:positionH>
            <wp:positionV relativeFrom="paragraph">
              <wp:posOffset>14029</wp:posOffset>
            </wp:positionV>
            <wp:extent cx="4933315" cy="5868670"/>
            <wp:effectExtent l="0" t="0" r="635" b="0"/>
            <wp:wrapTight wrapText="bothSides">
              <wp:wrapPolygon edited="0">
                <wp:start x="0" y="0"/>
                <wp:lineTo x="0" y="21525"/>
                <wp:lineTo x="21519" y="21525"/>
                <wp:lineTo x="21519" y="0"/>
                <wp:lineTo x="0" y="0"/>
              </wp:wrapPolygon>
            </wp:wrapTight>
            <wp:docPr id="1714110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110065" name=""/>
                    <pic:cNvPicPr/>
                  </pic:nvPicPr>
                  <pic:blipFill>
                    <a:blip r:embed="rId5">
                      <a:extLst>
                        <a:ext uri="{28A0092B-C50C-407E-A947-70E740481C1C}">
                          <a14:useLocalDpi xmlns:a14="http://schemas.microsoft.com/office/drawing/2010/main" val="0"/>
                        </a:ext>
                      </a:extLst>
                    </a:blip>
                    <a:stretch>
                      <a:fillRect/>
                    </a:stretch>
                  </pic:blipFill>
                  <pic:spPr>
                    <a:xfrm>
                      <a:off x="0" y="0"/>
                      <a:ext cx="4933315" cy="5868670"/>
                    </a:xfrm>
                    <a:prstGeom prst="rect">
                      <a:avLst/>
                    </a:prstGeom>
                  </pic:spPr>
                </pic:pic>
              </a:graphicData>
            </a:graphic>
            <wp14:sizeRelH relativeFrom="margin">
              <wp14:pctWidth>0</wp14:pctWidth>
            </wp14:sizeRelH>
            <wp14:sizeRelV relativeFrom="margin">
              <wp14:pctHeight>0</wp14:pctHeight>
            </wp14:sizeRelV>
          </wp:anchor>
        </w:drawing>
      </w:r>
    </w:p>
    <w:p w14:paraId="599D1077" w14:textId="77777777" w:rsidR="00B14DF0" w:rsidRDefault="00B14DF0"/>
    <w:p w14:paraId="48F6B1AB" w14:textId="77777777" w:rsidR="00B14DF0" w:rsidRDefault="00B14DF0"/>
    <w:p w14:paraId="2A767AE6" w14:textId="77777777" w:rsidR="00B14DF0" w:rsidRDefault="00B14DF0"/>
    <w:p w14:paraId="544803EF" w14:textId="77777777" w:rsidR="00B14DF0" w:rsidRDefault="00B14DF0"/>
    <w:p w14:paraId="4B1BCE0C" w14:textId="77777777" w:rsidR="00B14DF0" w:rsidRDefault="00B14DF0"/>
    <w:p w14:paraId="4E62BD49" w14:textId="77777777" w:rsidR="00B14DF0" w:rsidRDefault="00B14DF0"/>
    <w:p w14:paraId="6E40684D" w14:textId="77777777" w:rsidR="00B14DF0" w:rsidRDefault="00B14DF0"/>
    <w:p w14:paraId="47E852BD" w14:textId="77777777" w:rsidR="00B14DF0" w:rsidRDefault="00B14DF0"/>
    <w:p w14:paraId="3ED42F8F" w14:textId="77777777" w:rsidR="00B14DF0" w:rsidRDefault="00B14DF0"/>
    <w:p w14:paraId="18977304" w14:textId="77777777" w:rsidR="00B14DF0" w:rsidRDefault="00B14DF0"/>
    <w:p w14:paraId="559E91CD" w14:textId="77777777" w:rsidR="00B14DF0" w:rsidRDefault="00B14DF0"/>
    <w:p w14:paraId="6E8F8A6B" w14:textId="77777777" w:rsidR="00B14DF0" w:rsidRDefault="00B14DF0"/>
    <w:p w14:paraId="7DB035E0" w14:textId="77777777" w:rsidR="00B14DF0" w:rsidRDefault="00B14DF0"/>
    <w:p w14:paraId="35872F84" w14:textId="77777777" w:rsidR="00B14DF0" w:rsidRDefault="00B14DF0"/>
    <w:p w14:paraId="33FC1ED5" w14:textId="77777777" w:rsidR="00B14DF0" w:rsidRDefault="00B14DF0"/>
    <w:p w14:paraId="73C49F9E" w14:textId="77777777" w:rsidR="00B14DF0" w:rsidRDefault="00B14DF0"/>
    <w:p w14:paraId="17BDA325" w14:textId="77777777" w:rsidR="00B14DF0" w:rsidRDefault="00B14DF0"/>
    <w:p w14:paraId="6A379369" w14:textId="77777777" w:rsidR="00B14DF0" w:rsidRDefault="00B14DF0"/>
    <w:p w14:paraId="4DF2F4AC" w14:textId="67750818" w:rsidR="00B14DF0" w:rsidRPr="00B14DF0" w:rsidRDefault="00B14DF0">
      <w:pPr>
        <w:rPr>
          <w:i/>
          <w:iCs/>
        </w:rPr>
      </w:pPr>
      <w:r w:rsidRPr="00B14DF0">
        <w:rPr>
          <w:i/>
          <w:iCs/>
        </w:rPr>
        <w:t>Figure 2: GP Willingness and Competence to Provide Intrapartum Care</w:t>
      </w:r>
    </w:p>
    <w:p w14:paraId="2A5CF6FD" w14:textId="77777777" w:rsidR="00B14DF0" w:rsidRPr="00B14DF0" w:rsidRDefault="00B14DF0" w:rsidP="00B14DF0">
      <w:r w:rsidRPr="00B14DF0">
        <w:t>Figure 2 shows that only 23% of GPs wanted to provide more intrapartum care, while 66% disagreed. Similarly, only 28% felt sufficiently competent to provide this care, compared with 64% who disagreed (Brown, 1994).</w:t>
      </w:r>
    </w:p>
    <w:p w14:paraId="550E500F" w14:textId="77777777" w:rsidR="00B14DF0" w:rsidRDefault="00B14DF0"/>
    <w:p w14:paraId="3A2EA42C" w14:textId="77777777" w:rsidR="00B14DF0" w:rsidRDefault="00B14DF0"/>
    <w:p w14:paraId="7F172A14" w14:textId="77777777" w:rsidR="000E111B" w:rsidRDefault="000E111B"/>
    <w:p w14:paraId="0A02DE72" w14:textId="77777777" w:rsidR="000E111B" w:rsidRDefault="000E111B"/>
    <w:p w14:paraId="7E7D7F7C" w14:textId="77777777" w:rsidR="000E111B" w:rsidRDefault="000E111B"/>
    <w:p w14:paraId="7B3A247A" w14:textId="3CAE1B24" w:rsidR="000E111B" w:rsidRPr="001E776D" w:rsidRDefault="000E111B">
      <w:pPr>
        <w:rPr>
          <w:b/>
          <w:bCs/>
        </w:rPr>
      </w:pPr>
      <w:r w:rsidRPr="001E776D">
        <w:rPr>
          <w:b/>
          <w:bCs/>
        </w:rPr>
        <w:lastRenderedPageBreak/>
        <w:drawing>
          <wp:anchor distT="0" distB="0" distL="114300" distR="114300" simplePos="0" relativeHeight="251660288" behindDoc="1" locked="0" layoutInCell="1" allowOverlap="1" wp14:anchorId="1747A1DE" wp14:editId="7E5414A8">
            <wp:simplePos x="0" y="0"/>
            <wp:positionH relativeFrom="margin">
              <wp:align>right</wp:align>
            </wp:positionH>
            <wp:positionV relativeFrom="paragraph">
              <wp:posOffset>414448</wp:posOffset>
            </wp:positionV>
            <wp:extent cx="5731510" cy="4694555"/>
            <wp:effectExtent l="0" t="0" r="2540" b="0"/>
            <wp:wrapTight wrapText="bothSides">
              <wp:wrapPolygon edited="0">
                <wp:start x="0" y="0"/>
                <wp:lineTo x="0" y="21474"/>
                <wp:lineTo x="21538" y="21474"/>
                <wp:lineTo x="21538" y="0"/>
                <wp:lineTo x="0" y="0"/>
              </wp:wrapPolygon>
            </wp:wrapTight>
            <wp:docPr id="1196875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875760" name=""/>
                    <pic:cNvPicPr/>
                  </pic:nvPicPr>
                  <pic:blipFill>
                    <a:blip r:embed="rId6">
                      <a:extLst>
                        <a:ext uri="{28A0092B-C50C-407E-A947-70E740481C1C}">
                          <a14:useLocalDpi xmlns:a14="http://schemas.microsoft.com/office/drawing/2010/main" val="0"/>
                        </a:ext>
                      </a:extLst>
                    </a:blip>
                    <a:stretch>
                      <a:fillRect/>
                    </a:stretch>
                  </pic:blipFill>
                  <pic:spPr>
                    <a:xfrm>
                      <a:off x="0" y="0"/>
                      <a:ext cx="5731510" cy="4694555"/>
                    </a:xfrm>
                    <a:prstGeom prst="rect">
                      <a:avLst/>
                    </a:prstGeom>
                  </pic:spPr>
                </pic:pic>
              </a:graphicData>
            </a:graphic>
          </wp:anchor>
        </w:drawing>
      </w:r>
      <w:r w:rsidRPr="001E776D">
        <w:rPr>
          <w:b/>
          <w:bCs/>
        </w:rPr>
        <w:t>Views on Future Maternity Care</w:t>
      </w:r>
    </w:p>
    <w:p w14:paraId="6B3CA61E" w14:textId="77777777" w:rsidR="000E111B" w:rsidRDefault="000E111B" w:rsidP="00B14DF0"/>
    <w:p w14:paraId="56144312" w14:textId="3A5508BA" w:rsidR="00B14DF0" w:rsidRPr="000E111B" w:rsidRDefault="000E111B" w:rsidP="00B14DF0">
      <w:pPr>
        <w:rPr>
          <w:i/>
          <w:iCs/>
        </w:rPr>
      </w:pPr>
      <w:r w:rsidRPr="000E111B">
        <w:rPr>
          <w:i/>
          <w:iCs/>
        </w:rPr>
        <w:t>Figure 3: GP Views on Future Maternity Car</w:t>
      </w:r>
      <w:r w:rsidRPr="000E111B">
        <w:rPr>
          <w:i/>
          <w:iCs/>
        </w:rPr>
        <w:t>e</w:t>
      </w:r>
    </w:p>
    <w:p w14:paraId="1E822812" w14:textId="247C8BB8" w:rsidR="00B14DF0" w:rsidRPr="00B14DF0" w:rsidRDefault="000E111B" w:rsidP="00B14DF0">
      <w:r w:rsidRPr="000E111B">
        <w:t>Figure 3 provides a different perspective. Although many GPs did not personally want greater involvement, 92% supported enabling GPs who wished to provide care throughout pregnancy, labour and the puerperium. There was also support for obstetricians focusing on complicated pregnancies (78%), GP-relevant obstetric training (76%) and community-based maternity care (71%) (Brown, 1994).</w:t>
      </w:r>
    </w:p>
    <w:p w14:paraId="21820794" w14:textId="77777777" w:rsidR="00B14DF0" w:rsidRPr="00B14DF0" w:rsidRDefault="00B14DF0" w:rsidP="00B14DF0"/>
    <w:p w14:paraId="72C2B1D4" w14:textId="77777777" w:rsidR="000E111B" w:rsidRPr="000E111B" w:rsidRDefault="000E111B" w:rsidP="000E111B">
      <w:pPr>
        <w:rPr>
          <w:b/>
          <w:bCs/>
        </w:rPr>
      </w:pPr>
      <w:r w:rsidRPr="000E111B">
        <w:rPr>
          <w:b/>
          <w:bCs/>
        </w:rPr>
        <w:t>Reflection</w:t>
      </w:r>
    </w:p>
    <w:p w14:paraId="322D0794" w14:textId="77777777" w:rsidR="000E111B" w:rsidRPr="000E111B" w:rsidRDefault="000E111B" w:rsidP="000E111B">
      <w:r w:rsidRPr="000E111B">
        <w:t xml:space="preserve">This activity showed me that presenting all available numerical information does not necessarily make results easier to understand. Breaking Table II into themes and presenting key findings visually made the patterns and differences clearer. I also learned that graphs </w:t>
      </w:r>
      <w:proofErr w:type="gramStart"/>
      <w:r w:rsidRPr="000E111B">
        <w:t>can</w:t>
      </w:r>
      <w:proofErr w:type="gramEnd"/>
      <w:r w:rsidRPr="000E111B">
        <w:t xml:space="preserve"> make statistical findings more accessible, while the original table remains useful when exact figures are required.</w:t>
      </w:r>
    </w:p>
    <w:p w14:paraId="04889275" w14:textId="77777777" w:rsidR="000E111B" w:rsidRPr="000E111B" w:rsidRDefault="000E111B" w:rsidP="000E111B">
      <w:pPr>
        <w:rPr>
          <w:b/>
          <w:bCs/>
        </w:rPr>
      </w:pPr>
      <w:r w:rsidRPr="000E111B">
        <w:rPr>
          <w:b/>
          <w:bCs/>
        </w:rPr>
        <w:lastRenderedPageBreak/>
        <w:t>Reference</w:t>
      </w:r>
    </w:p>
    <w:p w14:paraId="0667563E" w14:textId="77777777" w:rsidR="000E111B" w:rsidRPr="000E111B" w:rsidRDefault="000E111B" w:rsidP="000E111B">
      <w:r w:rsidRPr="000E111B">
        <w:t xml:space="preserve">Brown, D.J. (1994) ‘Opinions of general practitioners in Nottinghamshire about provision of intrapartum care’, </w:t>
      </w:r>
      <w:r w:rsidRPr="000E111B">
        <w:rPr>
          <w:i/>
          <w:iCs/>
        </w:rPr>
        <w:t>BMJ</w:t>
      </w:r>
      <w:r w:rsidRPr="000E111B">
        <w:t xml:space="preserve">, 309(6957), pp. 777–779. </w:t>
      </w:r>
      <w:proofErr w:type="spellStart"/>
      <w:r w:rsidRPr="000E111B">
        <w:t>doi</w:t>
      </w:r>
      <w:proofErr w:type="spellEnd"/>
      <w:r w:rsidRPr="000E111B">
        <w:t>: 10.1136/bmj.309.6957.777.</w:t>
      </w:r>
    </w:p>
    <w:p w14:paraId="2C7B82EA" w14:textId="4F2E7844" w:rsidR="00B14DF0" w:rsidRPr="00B14DF0" w:rsidRDefault="00B14DF0" w:rsidP="00B14DF0"/>
    <w:p w14:paraId="2FA98882" w14:textId="77777777" w:rsidR="00B14DF0" w:rsidRPr="00B14DF0" w:rsidRDefault="00B14DF0" w:rsidP="00B14DF0"/>
    <w:p w14:paraId="4F6BCCCC" w14:textId="379F5147" w:rsidR="00B14DF0" w:rsidRPr="00B14DF0" w:rsidRDefault="00B14DF0" w:rsidP="00B14DF0"/>
    <w:p w14:paraId="10B0CB9C" w14:textId="798B7EB0" w:rsidR="00B14DF0" w:rsidRPr="00B14DF0" w:rsidRDefault="00B14DF0" w:rsidP="00B14DF0"/>
    <w:p w14:paraId="670533C9" w14:textId="1522838A" w:rsidR="00B14DF0" w:rsidRDefault="00B14DF0" w:rsidP="00B14DF0"/>
    <w:p w14:paraId="257D7CBF" w14:textId="08E2A0B9" w:rsidR="00B14DF0" w:rsidRDefault="00B14DF0" w:rsidP="00B14DF0"/>
    <w:p w14:paraId="34D385EC" w14:textId="77777777" w:rsidR="00B14DF0" w:rsidRDefault="00B14DF0" w:rsidP="00B14DF0"/>
    <w:p w14:paraId="002C9710" w14:textId="77777777" w:rsidR="00B14DF0" w:rsidRDefault="00B14DF0" w:rsidP="00B14DF0"/>
    <w:p w14:paraId="66377C00" w14:textId="56F7F72B" w:rsidR="00B14DF0" w:rsidRDefault="00B14DF0" w:rsidP="00B14DF0"/>
    <w:p w14:paraId="16B0D22C" w14:textId="3B5BF2C1" w:rsidR="00B14DF0" w:rsidRPr="00B14DF0" w:rsidRDefault="00B14DF0" w:rsidP="00B14DF0"/>
    <w:sectPr w:rsidR="00B14DF0" w:rsidRPr="00B14D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112"/>
    <w:rsid w:val="000E111B"/>
    <w:rsid w:val="001E776D"/>
    <w:rsid w:val="00B14DF0"/>
    <w:rsid w:val="00BC2842"/>
    <w:rsid w:val="00C53234"/>
    <w:rsid w:val="00FC511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24232"/>
  <w15:chartTrackingRefBased/>
  <w15:docId w15:val="{B6EF5FFF-CA0C-49F7-8C12-5843C42A0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51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51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51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51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51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51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51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51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51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51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51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51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51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51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51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51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51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5112"/>
    <w:rPr>
      <w:rFonts w:eastAsiaTheme="majorEastAsia" w:cstheme="majorBidi"/>
      <w:color w:val="272727" w:themeColor="text1" w:themeTint="D8"/>
    </w:rPr>
  </w:style>
  <w:style w:type="paragraph" w:styleId="Title">
    <w:name w:val="Title"/>
    <w:basedOn w:val="Normal"/>
    <w:next w:val="Normal"/>
    <w:link w:val="TitleChar"/>
    <w:uiPriority w:val="10"/>
    <w:qFormat/>
    <w:rsid w:val="00FC51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51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51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51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5112"/>
    <w:pPr>
      <w:spacing w:before="160"/>
      <w:jc w:val="center"/>
    </w:pPr>
    <w:rPr>
      <w:i/>
      <w:iCs/>
      <w:color w:val="404040" w:themeColor="text1" w:themeTint="BF"/>
    </w:rPr>
  </w:style>
  <w:style w:type="character" w:customStyle="1" w:styleId="QuoteChar">
    <w:name w:val="Quote Char"/>
    <w:basedOn w:val="DefaultParagraphFont"/>
    <w:link w:val="Quote"/>
    <w:uiPriority w:val="29"/>
    <w:rsid w:val="00FC5112"/>
    <w:rPr>
      <w:i/>
      <w:iCs/>
      <w:color w:val="404040" w:themeColor="text1" w:themeTint="BF"/>
    </w:rPr>
  </w:style>
  <w:style w:type="paragraph" w:styleId="ListParagraph">
    <w:name w:val="List Paragraph"/>
    <w:basedOn w:val="Normal"/>
    <w:uiPriority w:val="34"/>
    <w:qFormat/>
    <w:rsid w:val="00FC5112"/>
    <w:pPr>
      <w:ind w:left="720"/>
      <w:contextualSpacing/>
    </w:pPr>
  </w:style>
  <w:style w:type="character" w:styleId="IntenseEmphasis">
    <w:name w:val="Intense Emphasis"/>
    <w:basedOn w:val="DefaultParagraphFont"/>
    <w:uiPriority w:val="21"/>
    <w:qFormat/>
    <w:rsid w:val="00FC5112"/>
    <w:rPr>
      <w:i/>
      <w:iCs/>
      <w:color w:val="0F4761" w:themeColor="accent1" w:themeShade="BF"/>
    </w:rPr>
  </w:style>
  <w:style w:type="paragraph" w:styleId="IntenseQuote">
    <w:name w:val="Intense Quote"/>
    <w:basedOn w:val="Normal"/>
    <w:next w:val="Normal"/>
    <w:link w:val="IntenseQuoteChar"/>
    <w:uiPriority w:val="30"/>
    <w:qFormat/>
    <w:rsid w:val="00FC51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5112"/>
    <w:rPr>
      <w:i/>
      <w:iCs/>
      <w:color w:val="0F4761" w:themeColor="accent1" w:themeShade="BF"/>
    </w:rPr>
  </w:style>
  <w:style w:type="character" w:styleId="IntenseReference">
    <w:name w:val="Intense Reference"/>
    <w:basedOn w:val="DefaultParagraphFont"/>
    <w:uiPriority w:val="32"/>
    <w:qFormat/>
    <w:rsid w:val="00FC51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c354b2-85b0-47f5-b222-07b48d774ee3}" enabled="0" method="" siteId="{37c354b2-85b0-47f5-b222-07b48d774ee3}" removed="1"/>
</clbl:labelList>
</file>

<file path=docProps/app.xml><?xml version="1.0" encoding="utf-8"?>
<Properties xmlns="http://schemas.openxmlformats.org/officeDocument/2006/extended-properties" xmlns:vt="http://schemas.openxmlformats.org/officeDocument/2006/docPropsVTypes">
  <Template>Normal</Template>
  <TotalTime>48</TotalTime>
  <Pages>4</Pages>
  <Words>299</Words>
  <Characters>1749</Characters>
  <Application>Microsoft Office Word</Application>
  <DocSecurity>0</DocSecurity>
  <Lines>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NWANKWO, Chika (THE ROBERT JONES AND AGNES HUNT ORTHOPAEDIC HOSPITAL)</dc:creator>
  <cp:keywords/>
  <dc:description/>
  <cp:lastModifiedBy>NWANKWO, Chika (THE ROBERT JONES AND AGNES HUNT ORTHOPAEDIC HOSPITAL)</cp:lastModifiedBy>
  <cp:revision>2</cp:revision>
  <dcterms:created xsi:type="dcterms:W3CDTF">2026-08-26T13:57:00Z</dcterms:created>
  <dcterms:modified xsi:type="dcterms:W3CDTF">2026-08-26T14:45:00Z</dcterms:modified>
</cp:coreProperties>
</file>