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"/>
        <w:gridCol w:w="251"/>
        <w:gridCol w:w="2195"/>
        <w:gridCol w:w="853"/>
        <w:gridCol w:w="1793"/>
        <w:gridCol w:w="764"/>
        <w:gridCol w:w="613"/>
        <w:gridCol w:w="179"/>
        <w:gridCol w:w="1289"/>
      </w:tblGrid>
      <w:tr w:rsidR="00BC2E36" w14:paraId="48F643D8" w14:textId="77777777" w:rsidTr="00AC558A">
        <w:trPr>
          <w:trHeight w:val="20"/>
        </w:trPr>
        <w:tc>
          <w:tcPr>
            <w:tcW w:w="883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1934" w:type="dxa"/>
            <w:vAlign w:val="center"/>
          </w:tcPr>
          <w:p w14:paraId="03B0300C" w14:textId="1D01872A" w:rsidR="00BC2E36" w:rsidRDefault="00D66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-HT-GLYDL</w:t>
            </w:r>
            <w:r w:rsidR="0044445F">
              <w:rPr>
                <w:sz w:val="24"/>
                <w:szCs w:val="24"/>
              </w:rPr>
              <w:t>HTZ</w:t>
            </w:r>
          </w:p>
        </w:tc>
        <w:tc>
          <w:tcPr>
            <w:tcW w:w="903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802" w:type="dxa"/>
            <w:gridSpan w:val="5"/>
            <w:vAlign w:val="center"/>
          </w:tcPr>
          <w:p w14:paraId="5C9B32BC" w14:textId="5B08600A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品读后台管理员登录</w:t>
            </w:r>
            <w:r w:rsidR="00D66134">
              <w:rPr>
                <w:rFonts w:hint="eastAsia"/>
                <w:sz w:val="24"/>
                <w:szCs w:val="24"/>
              </w:rPr>
              <w:t>后跳转</w:t>
            </w:r>
          </w:p>
        </w:tc>
      </w:tr>
      <w:tr w:rsidR="00BC2E36" w14:paraId="3078F5CD" w14:textId="77777777" w:rsidTr="00AC558A">
        <w:trPr>
          <w:trHeight w:val="20"/>
        </w:trPr>
        <w:tc>
          <w:tcPr>
            <w:tcW w:w="883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1934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903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802" w:type="dxa"/>
            <w:gridSpan w:val="5"/>
            <w:vAlign w:val="center"/>
          </w:tcPr>
          <w:p w14:paraId="6BCCF25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DL03</w:t>
            </w:r>
          </w:p>
        </w:tc>
      </w:tr>
      <w:tr w:rsidR="00BC2E36" w14:paraId="5F778A53" w14:textId="77777777" w:rsidTr="00AC558A">
        <w:trPr>
          <w:trHeight w:val="20"/>
        </w:trPr>
        <w:tc>
          <w:tcPr>
            <w:tcW w:w="883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1934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903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802" w:type="dxa"/>
            <w:gridSpan w:val="5"/>
            <w:vAlign w:val="center"/>
          </w:tcPr>
          <w:p w14:paraId="4BC4FF00" w14:textId="7F341DE8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D66134">
              <w:rPr>
                <w:sz w:val="24"/>
                <w:szCs w:val="24"/>
              </w:rPr>
              <w:t>10</w:t>
            </w:r>
          </w:p>
        </w:tc>
      </w:tr>
      <w:tr w:rsidR="00BC2E36" w14:paraId="2FCF19F2" w14:textId="77777777" w:rsidTr="00AC558A">
        <w:trPr>
          <w:trHeight w:val="20"/>
        </w:trPr>
        <w:tc>
          <w:tcPr>
            <w:tcW w:w="883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39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AC558A">
        <w:trPr>
          <w:trHeight w:val="818"/>
        </w:trPr>
        <w:tc>
          <w:tcPr>
            <w:tcW w:w="883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39" w:type="dxa"/>
            <w:gridSpan w:val="7"/>
            <w:vAlign w:val="center"/>
          </w:tcPr>
          <w:p w14:paraId="583757A2" w14:textId="6B107B64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测试后台管理员登录模块是否可以正常登录</w:t>
            </w:r>
            <w:r w:rsidR="00F40149">
              <w:rPr>
                <w:rFonts w:hint="eastAsia"/>
                <w:sz w:val="24"/>
                <w:szCs w:val="24"/>
              </w:rPr>
              <w:t>并正确跳转至对应身份权限的业务功能界面。</w:t>
            </w:r>
          </w:p>
        </w:tc>
      </w:tr>
      <w:tr w:rsidR="00BC2E36" w14:paraId="1E98FA4D" w14:textId="77777777" w:rsidTr="00AC558A">
        <w:trPr>
          <w:trHeight w:val="702"/>
        </w:trPr>
        <w:tc>
          <w:tcPr>
            <w:tcW w:w="883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39" w:type="dxa"/>
            <w:gridSpan w:val="7"/>
            <w:vAlign w:val="center"/>
          </w:tcPr>
          <w:p w14:paraId="09A51EBD" w14:textId="725A8F21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AC558A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AC558A">
              <w:rPr>
                <w:rFonts w:hint="eastAsia"/>
                <w:sz w:val="24"/>
                <w:szCs w:val="24"/>
              </w:rPr>
              <w:t>专员和</w:t>
            </w:r>
            <w:r w:rsidR="00AC558A">
              <w:rPr>
                <w:rFonts w:hint="eastAsia"/>
                <w:sz w:val="24"/>
                <w:szCs w:val="24"/>
              </w:rPr>
              <w:t>1</w:t>
            </w:r>
            <w:r w:rsidR="00AC558A">
              <w:rPr>
                <w:rFonts w:hint="eastAsia"/>
                <w:sz w:val="24"/>
                <w:szCs w:val="24"/>
              </w:rPr>
              <w:t>个超级管理员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AC558A">
              <w:rPr>
                <w:rFonts w:hint="eastAsia"/>
                <w:sz w:val="24"/>
                <w:szCs w:val="24"/>
              </w:rPr>
              <w:t>前者</w:t>
            </w:r>
            <w:r>
              <w:rPr>
                <w:rFonts w:hint="eastAsia"/>
                <w:sz w:val="24"/>
                <w:szCs w:val="24"/>
              </w:rPr>
              <w:t>分别为</w:t>
            </w:r>
            <w:r w:rsidR="00AC558A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个不同</w:t>
            </w:r>
            <w:r w:rsidR="00F40149">
              <w:rPr>
                <w:rFonts w:hint="eastAsia"/>
                <w:sz w:val="24"/>
                <w:szCs w:val="24"/>
              </w:rPr>
              <w:t>权限</w:t>
            </w:r>
            <w:r>
              <w:rPr>
                <w:rFonts w:hint="eastAsia"/>
                <w:sz w:val="24"/>
                <w:szCs w:val="24"/>
              </w:rPr>
              <w:t>级别。</w:t>
            </w:r>
          </w:p>
        </w:tc>
      </w:tr>
      <w:tr w:rsidR="00BC2E36" w14:paraId="5FB80543" w14:textId="77777777" w:rsidTr="00AC558A">
        <w:trPr>
          <w:trHeight w:hRule="exact" w:val="624"/>
        </w:trPr>
        <w:tc>
          <w:tcPr>
            <w:tcW w:w="601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19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9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37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96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BC2E36" w14:paraId="4E0A0FF5" w14:textId="77777777" w:rsidTr="00D66134">
        <w:trPr>
          <w:trHeight w:hRule="exact" w:val="3118"/>
        </w:trPr>
        <w:tc>
          <w:tcPr>
            <w:tcW w:w="601" w:type="dxa"/>
            <w:vAlign w:val="center"/>
          </w:tcPr>
          <w:p w14:paraId="31AEB27C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19" w:type="dxa"/>
            <w:gridSpan w:val="3"/>
            <w:vAlign w:val="center"/>
          </w:tcPr>
          <w:p w14:paraId="1601FC0B" w14:textId="3508BEF5" w:rsidR="00BC2E36" w:rsidRDefault="00D661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输入超级权限管理员账号、密码，点击登录。</w:t>
            </w:r>
          </w:p>
        </w:tc>
        <w:tc>
          <w:tcPr>
            <w:tcW w:w="1869" w:type="dxa"/>
            <w:vAlign w:val="center"/>
          </w:tcPr>
          <w:p w14:paraId="652EDFED" w14:textId="4E4FDE91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 w:rsidR="00AC558A">
              <w:rPr>
                <w:rFonts w:hint="eastAsia"/>
                <w:sz w:val="24"/>
                <w:szCs w:val="24"/>
              </w:rPr>
              <w:t>a</w:t>
            </w:r>
            <w:r w:rsidR="00AC558A">
              <w:rPr>
                <w:sz w:val="24"/>
                <w:szCs w:val="24"/>
              </w:rPr>
              <w:t>dmin</w:t>
            </w:r>
            <w:r>
              <w:rPr>
                <w:rFonts w:hint="eastAsia"/>
                <w:sz w:val="24"/>
                <w:szCs w:val="24"/>
              </w:rPr>
              <w:t>，密码</w:t>
            </w:r>
            <w:r>
              <w:rPr>
                <w:rFonts w:hint="eastAsia"/>
                <w:sz w:val="24"/>
                <w:szCs w:val="24"/>
              </w:rPr>
              <w:t>12</w:t>
            </w:r>
            <w:r w:rsidR="00AC558A">
              <w:rPr>
                <w:sz w:val="24"/>
                <w:szCs w:val="24"/>
              </w:rPr>
              <w:t>3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52516E33" w14:textId="4D17A350" w:rsidR="00BC2E36" w:rsidRDefault="00D661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跳转至主页，显示欢迎登录品读，边栏中显示所有专员的业务操作按钮，</w:t>
            </w:r>
            <w:r w:rsidR="00000000">
              <w:rPr>
                <w:rFonts w:hint="eastAsia"/>
                <w:sz w:val="24"/>
                <w:szCs w:val="24"/>
              </w:rPr>
              <w:t>显示“</w:t>
            </w:r>
            <w:r w:rsidR="00AC558A">
              <w:rPr>
                <w:rFonts w:hint="eastAsia"/>
                <w:sz w:val="24"/>
                <w:szCs w:val="24"/>
              </w:rPr>
              <w:t>欢迎登录</w:t>
            </w:r>
            <w:r w:rsidR="00000000">
              <w:rPr>
                <w:rFonts w:hint="eastAsia"/>
                <w:sz w:val="24"/>
                <w:szCs w:val="24"/>
              </w:rPr>
              <w:t>”</w:t>
            </w:r>
            <w:r w:rsidR="00AC558A">
              <w:rPr>
                <w:rFonts w:hint="eastAsia"/>
                <w:sz w:val="24"/>
                <w:szCs w:val="24"/>
              </w:rPr>
              <w:t>弹窗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18FD71F9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D66134" w14:paraId="3BD6FB99" w14:textId="77777777" w:rsidTr="00D66134">
        <w:trPr>
          <w:trHeight w:hRule="exact" w:val="3231"/>
        </w:trPr>
        <w:tc>
          <w:tcPr>
            <w:tcW w:w="601" w:type="dxa"/>
            <w:vAlign w:val="center"/>
          </w:tcPr>
          <w:p w14:paraId="5E9D917E" w14:textId="417EDF32" w:rsidR="00D66134" w:rsidRDefault="00D661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19" w:type="dxa"/>
            <w:gridSpan w:val="3"/>
            <w:vAlign w:val="center"/>
          </w:tcPr>
          <w:p w14:paraId="5DE373C6" w14:textId="775939BB" w:rsidR="00D66134" w:rsidRDefault="00D661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输入售后专员账号、密码，点击登录。</w:t>
            </w:r>
          </w:p>
        </w:tc>
        <w:tc>
          <w:tcPr>
            <w:tcW w:w="1869" w:type="dxa"/>
            <w:vAlign w:val="center"/>
          </w:tcPr>
          <w:p w14:paraId="24D78C5B" w14:textId="77777777" w:rsidR="00D66134" w:rsidRDefault="00D66134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14:paraId="79DD6D6F" w14:textId="7B0B223A" w:rsidR="00D66134" w:rsidRDefault="00D66134" w:rsidP="00AC55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3EBC3ADA" w14:textId="168C9A07" w:rsidR="00D66134" w:rsidRDefault="00D661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跳转至主页，显示欢迎登录品读，边栏中显示</w:t>
            </w:r>
            <w:r>
              <w:rPr>
                <w:rFonts w:hint="eastAsia"/>
                <w:sz w:val="24"/>
                <w:szCs w:val="24"/>
              </w:rPr>
              <w:t>售后</w:t>
            </w:r>
            <w:r>
              <w:rPr>
                <w:rFonts w:hint="eastAsia"/>
                <w:sz w:val="24"/>
                <w:szCs w:val="24"/>
              </w:rPr>
              <w:t>专员</w:t>
            </w:r>
            <w:r>
              <w:rPr>
                <w:rFonts w:hint="eastAsia"/>
                <w:sz w:val="24"/>
                <w:szCs w:val="24"/>
              </w:rPr>
              <w:t>对应</w:t>
            </w:r>
            <w:r>
              <w:rPr>
                <w:rFonts w:hint="eastAsia"/>
                <w:sz w:val="24"/>
                <w:szCs w:val="24"/>
              </w:rPr>
              <w:t>的业务操作按钮，显示“欢迎登录”弹窗。</w:t>
            </w:r>
          </w:p>
        </w:tc>
        <w:tc>
          <w:tcPr>
            <w:tcW w:w="1496" w:type="dxa"/>
            <w:gridSpan w:val="2"/>
            <w:vAlign w:val="center"/>
          </w:tcPr>
          <w:p w14:paraId="562A9D07" w14:textId="2AFDC8B9" w:rsidR="00D66134" w:rsidRPr="00D66134" w:rsidRDefault="00D66134" w:rsidP="00AC558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D66134" w14:paraId="5EF49C34" w14:textId="77777777" w:rsidTr="00D66134">
        <w:trPr>
          <w:trHeight w:hRule="exact" w:val="3231"/>
        </w:trPr>
        <w:tc>
          <w:tcPr>
            <w:tcW w:w="601" w:type="dxa"/>
            <w:vAlign w:val="center"/>
          </w:tcPr>
          <w:p w14:paraId="2565E989" w14:textId="3346DC7D" w:rsidR="00D66134" w:rsidRDefault="00D66134" w:rsidP="00D661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119" w:type="dxa"/>
            <w:gridSpan w:val="3"/>
            <w:vAlign w:val="center"/>
          </w:tcPr>
          <w:p w14:paraId="51BCFE84" w14:textId="12865170" w:rsidR="00D66134" w:rsidRDefault="00D66134" w:rsidP="00D661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资金</w:t>
            </w:r>
            <w:r>
              <w:rPr>
                <w:rFonts w:hint="eastAsia"/>
                <w:sz w:val="24"/>
                <w:szCs w:val="24"/>
              </w:rPr>
              <w:t>专员账号、密码，点击登录。</w:t>
            </w:r>
          </w:p>
        </w:tc>
        <w:tc>
          <w:tcPr>
            <w:tcW w:w="1869" w:type="dxa"/>
            <w:vAlign w:val="center"/>
          </w:tcPr>
          <w:p w14:paraId="257FAC99" w14:textId="7CC97B84" w:rsidR="00D66134" w:rsidRDefault="00D66134" w:rsidP="00D6613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14:paraId="5A7CEE4F" w14:textId="2E0D3D6E" w:rsidR="00D66134" w:rsidRDefault="00D66134" w:rsidP="00D66134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05CF3D2C" w14:textId="33102C52" w:rsidR="00D66134" w:rsidRDefault="00D66134" w:rsidP="00D661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跳转至主页，显示欢迎登录品读，边栏中显示</w:t>
            </w:r>
            <w:r>
              <w:rPr>
                <w:rFonts w:hint="eastAsia"/>
                <w:sz w:val="24"/>
                <w:szCs w:val="24"/>
              </w:rPr>
              <w:t>资金</w:t>
            </w:r>
            <w:r>
              <w:rPr>
                <w:rFonts w:hint="eastAsia"/>
                <w:sz w:val="24"/>
                <w:szCs w:val="24"/>
              </w:rPr>
              <w:t>专员对应的业务操作按钮，显示“欢迎登录”弹窗。</w:t>
            </w:r>
          </w:p>
        </w:tc>
        <w:tc>
          <w:tcPr>
            <w:tcW w:w="1496" w:type="dxa"/>
            <w:gridSpan w:val="2"/>
            <w:vAlign w:val="center"/>
          </w:tcPr>
          <w:p w14:paraId="7A6A66BF" w14:textId="3C98216B" w:rsidR="00D66134" w:rsidRDefault="00D66134" w:rsidP="00D661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D66134" w14:paraId="6636CED7" w14:textId="77777777" w:rsidTr="00D66134">
        <w:trPr>
          <w:trHeight w:hRule="exact" w:val="3231"/>
        </w:trPr>
        <w:tc>
          <w:tcPr>
            <w:tcW w:w="601" w:type="dxa"/>
            <w:vAlign w:val="center"/>
          </w:tcPr>
          <w:p w14:paraId="5A9567CF" w14:textId="55A52E68" w:rsidR="00D66134" w:rsidRDefault="00D66134" w:rsidP="00D661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19" w:type="dxa"/>
            <w:gridSpan w:val="3"/>
            <w:vAlign w:val="center"/>
          </w:tcPr>
          <w:p w14:paraId="30BC4731" w14:textId="0AAB84AA" w:rsidR="00D66134" w:rsidRDefault="00D66134" w:rsidP="00D661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购售</w:t>
            </w:r>
            <w:r>
              <w:rPr>
                <w:rFonts w:hint="eastAsia"/>
                <w:sz w:val="24"/>
                <w:szCs w:val="24"/>
              </w:rPr>
              <w:t>专员账号、密码，点击登录。</w:t>
            </w:r>
          </w:p>
        </w:tc>
        <w:tc>
          <w:tcPr>
            <w:tcW w:w="1869" w:type="dxa"/>
            <w:vAlign w:val="center"/>
          </w:tcPr>
          <w:p w14:paraId="013ABDB1" w14:textId="1EB298A1" w:rsidR="00D66134" w:rsidRDefault="00D66134" w:rsidP="00D6613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14:paraId="4203F838" w14:textId="458BD836" w:rsidR="00D66134" w:rsidRDefault="00D66134" w:rsidP="00D66134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2D5658E2" w14:textId="2ADC8000" w:rsidR="00D66134" w:rsidRDefault="00D66134" w:rsidP="00D661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跳转至主页，显示欢迎登录品读，边栏中显示</w:t>
            </w:r>
            <w:r>
              <w:rPr>
                <w:rFonts w:hint="eastAsia"/>
                <w:sz w:val="24"/>
                <w:szCs w:val="24"/>
              </w:rPr>
              <w:t>购售</w:t>
            </w:r>
            <w:r>
              <w:rPr>
                <w:rFonts w:hint="eastAsia"/>
                <w:sz w:val="24"/>
                <w:szCs w:val="24"/>
              </w:rPr>
              <w:t>专员对应的业务操作按钮，显示“欢迎登录”弹窗。</w:t>
            </w:r>
          </w:p>
        </w:tc>
        <w:tc>
          <w:tcPr>
            <w:tcW w:w="1496" w:type="dxa"/>
            <w:gridSpan w:val="2"/>
            <w:vAlign w:val="center"/>
          </w:tcPr>
          <w:p w14:paraId="649C9617" w14:textId="0FC73F01" w:rsidR="00D66134" w:rsidRDefault="00D66134" w:rsidP="00D661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D66134" w14:paraId="0BA66FAF" w14:textId="77777777" w:rsidTr="00D66134">
        <w:trPr>
          <w:trHeight w:hRule="exact" w:val="3231"/>
        </w:trPr>
        <w:tc>
          <w:tcPr>
            <w:tcW w:w="601" w:type="dxa"/>
            <w:vAlign w:val="center"/>
          </w:tcPr>
          <w:p w14:paraId="6C5731DE" w14:textId="202170B2" w:rsidR="00D66134" w:rsidRDefault="00D66134" w:rsidP="00D661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119" w:type="dxa"/>
            <w:gridSpan w:val="3"/>
            <w:vAlign w:val="center"/>
          </w:tcPr>
          <w:p w14:paraId="6820F932" w14:textId="2E7FAA2E" w:rsidR="00D66134" w:rsidRDefault="00D66134" w:rsidP="00D661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图书</w:t>
            </w:r>
            <w:r>
              <w:rPr>
                <w:rFonts w:hint="eastAsia"/>
                <w:sz w:val="24"/>
                <w:szCs w:val="24"/>
              </w:rPr>
              <w:t>专员账号、密码，点击登录。</w:t>
            </w:r>
          </w:p>
        </w:tc>
        <w:tc>
          <w:tcPr>
            <w:tcW w:w="1869" w:type="dxa"/>
            <w:vAlign w:val="center"/>
          </w:tcPr>
          <w:p w14:paraId="2AB2E6A4" w14:textId="5ED35C24" w:rsidR="00D66134" w:rsidRDefault="00D66134" w:rsidP="00D6613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14:paraId="5404F490" w14:textId="2C46EEC1" w:rsidR="00D66134" w:rsidRDefault="00D66134" w:rsidP="00D66134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5D272CC0" w14:textId="713B79BC" w:rsidR="00D66134" w:rsidRDefault="00D66134" w:rsidP="00D661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跳转至主页，显示欢迎登录品读，边栏中显示</w:t>
            </w:r>
            <w:r>
              <w:rPr>
                <w:rFonts w:hint="eastAsia"/>
                <w:sz w:val="24"/>
                <w:szCs w:val="24"/>
              </w:rPr>
              <w:t>图书</w:t>
            </w:r>
            <w:r>
              <w:rPr>
                <w:rFonts w:hint="eastAsia"/>
                <w:sz w:val="24"/>
                <w:szCs w:val="24"/>
              </w:rPr>
              <w:t>专员对应的业务操作按钮，显示“欢迎登录”弹窗。</w:t>
            </w:r>
          </w:p>
        </w:tc>
        <w:tc>
          <w:tcPr>
            <w:tcW w:w="1496" w:type="dxa"/>
            <w:gridSpan w:val="2"/>
            <w:vAlign w:val="center"/>
          </w:tcPr>
          <w:p w14:paraId="42ECA5EE" w14:textId="60870B5D" w:rsidR="00D66134" w:rsidRDefault="00D66134" w:rsidP="00D661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D66134" w14:paraId="19D3D3AE" w14:textId="77777777" w:rsidTr="00AC558A">
        <w:trPr>
          <w:trHeight w:hRule="exact" w:val="809"/>
        </w:trPr>
        <w:tc>
          <w:tcPr>
            <w:tcW w:w="601" w:type="dxa"/>
            <w:vAlign w:val="center"/>
          </w:tcPr>
          <w:p w14:paraId="7609549B" w14:textId="77777777" w:rsidR="00D66134" w:rsidRDefault="00D66134" w:rsidP="00D661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16" w:type="dxa"/>
            <w:gridSpan w:val="2"/>
            <w:vAlign w:val="center"/>
          </w:tcPr>
          <w:p w14:paraId="5EFFC81A" w14:textId="77777777" w:rsidR="00D66134" w:rsidRDefault="00D66134" w:rsidP="00D661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03" w:type="dxa"/>
            <w:vAlign w:val="center"/>
          </w:tcPr>
          <w:p w14:paraId="15AC68C9" w14:textId="77777777" w:rsidR="00D66134" w:rsidRDefault="00D66134" w:rsidP="00D661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9" w:type="dxa"/>
            <w:gridSpan w:val="2"/>
            <w:vAlign w:val="center"/>
          </w:tcPr>
          <w:p w14:paraId="123CAA9C" w14:textId="7148D2EF" w:rsidR="00D66134" w:rsidRDefault="00D66134" w:rsidP="00D661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35" w:type="dxa"/>
            <w:gridSpan w:val="2"/>
            <w:vAlign w:val="center"/>
          </w:tcPr>
          <w:p w14:paraId="3C69D001" w14:textId="77777777" w:rsidR="00D66134" w:rsidRDefault="00D66134" w:rsidP="00D661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98" w:type="dxa"/>
            <w:vAlign w:val="center"/>
          </w:tcPr>
          <w:p w14:paraId="425D8C15" w14:textId="1E877CF5" w:rsidR="00D66134" w:rsidRDefault="00D66134" w:rsidP="00D661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6E6C69B7" w14:textId="77777777" w:rsidR="00BC2E36" w:rsidRDefault="00BC2E36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73A4" w14:textId="77777777" w:rsidR="003B7248" w:rsidRDefault="003B7248" w:rsidP="00AC558A">
      <w:r>
        <w:separator/>
      </w:r>
    </w:p>
  </w:endnote>
  <w:endnote w:type="continuationSeparator" w:id="0">
    <w:p w14:paraId="1D2B00C3" w14:textId="77777777" w:rsidR="003B7248" w:rsidRDefault="003B7248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0069" w14:textId="77777777" w:rsidR="003B7248" w:rsidRDefault="003B7248" w:rsidP="00AC558A">
      <w:r>
        <w:separator/>
      </w:r>
    </w:p>
  </w:footnote>
  <w:footnote w:type="continuationSeparator" w:id="0">
    <w:p w14:paraId="77BF0D6C" w14:textId="77777777" w:rsidR="003B7248" w:rsidRDefault="003B7248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3B7248"/>
    <w:rsid w:val="00417DE4"/>
    <w:rsid w:val="0044445F"/>
    <w:rsid w:val="009F5433"/>
    <w:rsid w:val="00AC558A"/>
    <w:rsid w:val="00BC2E36"/>
    <w:rsid w:val="00D66134"/>
    <w:rsid w:val="00EE2B4F"/>
    <w:rsid w:val="00F40149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7</cp:revision>
  <dcterms:created xsi:type="dcterms:W3CDTF">2021-03-30T06:49:00Z</dcterms:created>
  <dcterms:modified xsi:type="dcterms:W3CDTF">2023-05-08T11:48:00Z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