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297"/>
        <w:gridCol w:w="2321"/>
        <w:gridCol w:w="129"/>
        <w:gridCol w:w="806"/>
        <w:gridCol w:w="354"/>
        <w:gridCol w:w="1167"/>
        <w:gridCol w:w="624"/>
        <w:gridCol w:w="827"/>
        <w:gridCol w:w="20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321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default"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D-QT-SPXQTZ</w:t>
            </w:r>
          </w:p>
        </w:tc>
        <w:tc>
          <w:tcPr>
            <w:tcW w:w="9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531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4"/>
                <w:szCs w:val="24"/>
              </w:rPr>
              <w:t>前台商品详情跳转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32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531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32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3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531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8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787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787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验证是否能够正常检索。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9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787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在后台添加10个不同名称商品。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exact"/>
        </w:trPr>
        <w:tc>
          <w:tcPr>
            <w:tcW w:w="6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55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6" w:hRule="exact"/>
        </w:trPr>
        <w:tc>
          <w:tcPr>
            <w:tcW w:w="61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553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全部商品页面点击任意商品。</w:t>
            </w:r>
          </w:p>
        </w:tc>
        <w:tc>
          <w:tcPr>
            <w:tcW w:w="1521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1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主页面显示该商品详情。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6" w:hRule="exact"/>
        </w:trPr>
        <w:tc>
          <w:tcPr>
            <w:tcW w:w="61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553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分类检索商品页面点击任意商品。</w:t>
            </w:r>
          </w:p>
        </w:tc>
        <w:tc>
          <w:tcPr>
            <w:tcW w:w="1521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1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主页面显示该商品详情。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exact"/>
        </w:trPr>
        <w:tc>
          <w:tcPr>
            <w:tcW w:w="61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747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791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03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2B"/>
    <w:rsid w:val="00547259"/>
    <w:rsid w:val="00622E2B"/>
    <w:rsid w:val="051E1C55"/>
    <w:rsid w:val="15C30360"/>
    <w:rsid w:val="1E6F622C"/>
    <w:rsid w:val="3B350DA9"/>
    <w:rsid w:val="48A90C50"/>
    <w:rsid w:val="4D6F7E14"/>
    <w:rsid w:val="5212769C"/>
    <w:rsid w:val="67C622D2"/>
    <w:rsid w:val="74F146AC"/>
    <w:rsid w:val="76320BA0"/>
    <w:rsid w:val="7FDB0FDB"/>
    <w:rsid w:val="BB3727EB"/>
    <w:rsid w:val="C9270649"/>
    <w:rsid w:val="E9DBE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349</Characters>
  <Lines>2</Lines>
  <Paragraphs>1</Paragraphs>
  <TotalTime>1</TotalTime>
  <ScaleCrop>false</ScaleCrop>
  <LinksUpToDate>false</LinksUpToDate>
  <CharactersWithSpaces>409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83CBC4D844C960F3E0AA5864B848846B</vt:lpwstr>
  </property>
</Properties>
</file>