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宋体" w:hAnsi="宋体"/>
          <w:b/>
          <w:sz w:val="24"/>
          <w:szCs w:val="24"/>
        </w:rPr>
      </w:pPr>
      <w:bookmarkStart w:id="0" w:name="_Toc61789398"/>
      <w:r>
        <w:rPr>
          <w:rFonts w:hint="eastAsia" w:ascii="宋体" w:hAnsi="宋体"/>
          <w:b/>
          <w:sz w:val="24"/>
          <w:szCs w:val="24"/>
        </w:rPr>
        <w:t>测试用例</w:t>
      </w:r>
      <w:bookmarkEnd w:id="0"/>
    </w:p>
    <w:tbl>
      <w:tblPr>
        <w:tblStyle w:val="4"/>
        <w:tblW w:w="8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"/>
        <w:gridCol w:w="262"/>
        <w:gridCol w:w="2848"/>
        <w:gridCol w:w="128"/>
        <w:gridCol w:w="763"/>
        <w:gridCol w:w="334"/>
        <w:gridCol w:w="1074"/>
        <w:gridCol w:w="568"/>
        <w:gridCol w:w="787"/>
        <w:gridCol w:w="193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3" w:hRule="exact"/>
        </w:trPr>
        <w:tc>
          <w:tcPr>
            <w:tcW w:w="87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用例编号</w:t>
            </w:r>
          </w:p>
        </w:tc>
        <w:tc>
          <w:tcPr>
            <w:tcW w:w="2848" w:type="dxa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0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-QRDD</w:t>
            </w:r>
            <w:r>
              <w:rPr>
                <w:rFonts w:hint="eastAsia" w:ascii="宋体" w:hAnsi="宋体"/>
                <w:sz w:val="24"/>
                <w:szCs w:val="24"/>
              </w:rPr>
              <w:t>-TZ</w:t>
            </w:r>
          </w:p>
        </w:tc>
        <w:tc>
          <w:tcPr>
            <w:tcW w:w="89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模块名称</w:t>
            </w:r>
          </w:p>
        </w:tc>
        <w:tc>
          <w:tcPr>
            <w:tcW w:w="4349" w:type="dxa"/>
            <w:gridSpan w:val="6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品读卖书库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（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购物车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）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确认订单页面跳转</w:t>
            </w:r>
          </w:p>
        </w:tc>
      </w:tr>
      <w:tr>
        <w:trPr>
          <w:trHeight w:val="603" w:hRule="exact"/>
        </w:trPr>
        <w:tc>
          <w:tcPr>
            <w:tcW w:w="87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开发人员</w:t>
            </w:r>
          </w:p>
        </w:tc>
        <w:tc>
          <w:tcPr>
            <w:tcW w:w="2848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王晗頔</w:t>
            </w:r>
          </w:p>
        </w:tc>
        <w:tc>
          <w:tcPr>
            <w:tcW w:w="89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版 本 号</w:t>
            </w:r>
          </w:p>
        </w:tc>
        <w:tc>
          <w:tcPr>
            <w:tcW w:w="4349" w:type="dxa"/>
            <w:gridSpan w:val="6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3" w:hRule="exact"/>
        </w:trPr>
        <w:tc>
          <w:tcPr>
            <w:tcW w:w="87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用例作者</w:t>
            </w:r>
          </w:p>
        </w:tc>
        <w:tc>
          <w:tcPr>
            <w:tcW w:w="2848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89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设计日期</w:t>
            </w:r>
          </w:p>
        </w:tc>
        <w:tc>
          <w:tcPr>
            <w:tcW w:w="4349" w:type="dxa"/>
            <w:gridSpan w:val="6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06" w:hRule="exact"/>
        </w:trPr>
        <w:tc>
          <w:tcPr>
            <w:tcW w:w="87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测试类型</w:t>
            </w:r>
          </w:p>
        </w:tc>
        <w:tc>
          <w:tcPr>
            <w:tcW w:w="8088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单元：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A3"/>
            </w:r>
            <w:r>
              <w:rPr>
                <w:rFonts w:hint="eastAsia" w:ascii="宋体" w:hAnsi="宋体"/>
                <w:sz w:val="24"/>
                <w:szCs w:val="24"/>
              </w:rPr>
              <w:t>功能测试          □逻辑覆盖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集成：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52"/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口    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集成后的功能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系统：□功能    □并发性  □可靠性  □实时性  □压力  </w:t>
            </w:r>
          </w:p>
          <w:p>
            <w:pPr>
              <w:ind w:firstLine="720" w:firstLineChars="3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□安全性  □兼容性  □移植性  □扩展性  □用户界面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验收：□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实用性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稳定性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灵活性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安全性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可维护性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exact"/>
        </w:trPr>
        <w:tc>
          <w:tcPr>
            <w:tcW w:w="87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用例描述</w:t>
            </w:r>
          </w:p>
        </w:tc>
        <w:tc>
          <w:tcPr>
            <w:tcW w:w="8088" w:type="dxa"/>
            <w:gridSpan w:val="9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eastAsia="zh-Hans"/>
              </w:rPr>
            </w:pPr>
            <w:r>
              <w:rPr>
                <w:rFonts w:ascii="宋体" w:hAnsi="宋体"/>
                <w:sz w:val="24"/>
                <w:szCs w:val="24"/>
              </w:rPr>
              <w:t>验证点击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确认订单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是否跳转到确认订单页面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并将购物车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（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卖书库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）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选中商品显示在页面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3" w:hRule="exact"/>
        </w:trPr>
        <w:tc>
          <w:tcPr>
            <w:tcW w:w="87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前置条件</w:t>
            </w:r>
          </w:p>
        </w:tc>
        <w:tc>
          <w:tcPr>
            <w:tcW w:w="8088" w:type="dxa"/>
            <w:gridSpan w:val="9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网站基本完成。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选中几个商品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92" w:hRule="exact"/>
        </w:trPr>
        <w:tc>
          <w:tcPr>
            <w:tcW w:w="60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4001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测试步骤</w:t>
            </w:r>
          </w:p>
        </w:tc>
        <w:tc>
          <w:tcPr>
            <w:tcW w:w="140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135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预期输出/响应</w:t>
            </w:r>
          </w:p>
        </w:tc>
        <w:tc>
          <w:tcPr>
            <w:tcW w:w="158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实际与预期相符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31" w:hRule="exact"/>
        </w:trPr>
        <w:tc>
          <w:tcPr>
            <w:tcW w:w="60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4001" w:type="dxa"/>
            <w:gridSpan w:val="4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点击确认订单</w:t>
            </w:r>
          </w:p>
        </w:tc>
        <w:tc>
          <w:tcPr>
            <w:tcW w:w="1408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55" w:type="dxa"/>
            <w:gridSpan w:val="2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跳转到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确认订单页面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显示商品正确</w:t>
            </w:r>
          </w:p>
        </w:tc>
        <w:tc>
          <w:tcPr>
            <w:tcW w:w="1586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6" w:hRule="exact"/>
        </w:trPr>
        <w:tc>
          <w:tcPr>
            <w:tcW w:w="60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结论</w:t>
            </w:r>
          </w:p>
        </w:tc>
        <w:tc>
          <w:tcPr>
            <w:tcW w:w="3238" w:type="dxa"/>
            <w:gridSpan w:val="3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通过</w:t>
            </w:r>
          </w:p>
        </w:tc>
        <w:tc>
          <w:tcPr>
            <w:tcW w:w="109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测试人员</w:t>
            </w:r>
          </w:p>
        </w:tc>
        <w:tc>
          <w:tcPr>
            <w:tcW w:w="1642" w:type="dxa"/>
            <w:gridSpan w:val="2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8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测试日期</w:t>
            </w:r>
          </w:p>
        </w:tc>
        <w:tc>
          <w:tcPr>
            <w:tcW w:w="1393" w:type="dxa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bookmarkStart w:id="1" w:name="_GoBack"/>
            <w:bookmarkEnd w:id="1"/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-129540</wp:posOffset>
              </wp:positionV>
              <wp:extent cx="1590675" cy="1404620"/>
              <wp:effectExtent l="0" t="0" r="9525" b="1778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8.05pt;margin-top:-10.2pt;height:110.6pt;width:125.25pt;mso-wrap-distance-bottom:3.6pt;mso-wrap-distance-left:9pt;mso-wrap-distance-right:9pt;mso-wrap-distance-top:3.6pt;z-index:251660288;mso-width-relative:page;mso-height-relative:margin;mso-height-percent:200;" fillcolor="#FFFFFF" filled="t" stroked="f" coordsize="21600,21600" o:gfxdata="UEsFBgAAAAAAAAAAAAAAAAAAAAAAAFBLAwQKAAAAAACHTuJAAAAAAAAAAAAAAAAABAAAAGRycy9Q&#10;SwMEFAAAAAgAh07iQEQG82/YAAAACwEAAA8AAABkcnMvZG93bnJldi54bWxNjz1rwzAQhvdC/4O4&#10;QrdEckhC6lgOpaFLh0KTQjsqlmyZWCchKY7773uZ2u097uH9qHaTG9hoYuo9SijmApjBxuseOwmf&#10;x9fZBljKCrUaPBoJPybBrr6/q1Sp/RU/zHjIHSMTTKWSYHMOJeepscapNPfBIP1aH53KdMaO66iu&#10;ZO4GvhBizZ3qkRKsCubFmuZ8uDgJX872eh/fv1s9jPu39nkVphikfHwoxBZYNlP+g+FWn6pDTZ1O&#10;/oI6sUHCbLUuCCWxEEtgN+JpSeIkgYI3wOuK/99Q/wJ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EBvNv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-130175</wp:posOffset>
          </wp:positionV>
          <wp:extent cx="395605" cy="357505"/>
          <wp:effectExtent l="0" t="0" r="10795" b="23495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0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00F"/>
    <w:rsid w:val="0034200F"/>
    <w:rsid w:val="00C066C6"/>
    <w:rsid w:val="051E1C55"/>
    <w:rsid w:val="0C850293"/>
    <w:rsid w:val="13534C4B"/>
    <w:rsid w:val="15C30360"/>
    <w:rsid w:val="1E6F622C"/>
    <w:rsid w:val="218D0E59"/>
    <w:rsid w:val="3B350DA9"/>
    <w:rsid w:val="4D6F7E14"/>
    <w:rsid w:val="5212769C"/>
    <w:rsid w:val="5C833F80"/>
    <w:rsid w:val="60493D1A"/>
    <w:rsid w:val="67C622D2"/>
    <w:rsid w:val="76320BA0"/>
    <w:rsid w:val="7FFFC90C"/>
    <w:rsid w:val="E6F3D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332</Characters>
  <Lines>2</Lines>
  <Paragraphs>1</Paragraphs>
  <TotalTime>1</TotalTime>
  <ScaleCrop>false</ScaleCrop>
  <LinksUpToDate>false</LinksUpToDate>
  <CharactersWithSpaces>389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2021-03-30T22:49:00Z</dcterms:created>
  <dc:creator>yucon</dc:creator>
  <cp:lastModifiedBy>小完能</cp:lastModifiedBy>
  <dcterms:modified xsi:type="dcterms:W3CDTF">2023-05-08T20:34:32Z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0A8F0D86B043DAAEC8B8586419ABF6B4</vt:lpwstr>
  </property>
</Properties>
</file>