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Georgia" w:hAnsi="Georgia"/>
          <w:b/>
          <w:color w:val="16325B"/>
          <w:sz w:val="22"/>
        </w:rPr>
        <w:t>АНАЛИТИЧЕСКИЙ МЕМОРАНДУМ ИНВЕСТИЦИОННОГО КОМИТЕТА</w:t>
      </w:r>
    </w:p>
    <w:p>
      <w:pPr>
        <w:spacing w:after="200"/>
      </w:pPr>
      <w:r>
        <w:rPr>
          <w:rFonts w:ascii="Georgia" w:hAnsi="Georgia"/>
          <w:b/>
          <w:color w:val="0F172A"/>
          <w:sz w:val="38"/>
        </w:rPr>
        <w:t>Фундаментальный аудит отчётностей МСФО и РСБУ, отраслевой скоринг и аллокация капитала на Московской и СПБ биржах</w:t>
      </w:r>
    </w:p>
    <w:p>
      <w:pPr>
        <w:spacing w:before="0" w:after="160" w:line="283" w:lineRule="auto"/>
      </w:pPr>
      <w:r>
        <w:rPr>
          <w:rFonts w:ascii="Arial" w:hAnsi="Arial"/>
          <w:color w:val="14171C"/>
          <w:sz w:val="21"/>
        </w:rPr>
        <w:t>Дата расчётного слепка: 19 октября 2026 г.  |  Ключевая ставка ЦБ РФ: 14,00% (с 27.07.2026)  |  Курс ЦБ USD/RUB: 82,85 руб.  |  Индекс Мосбиржи (IMOEX): 2 433,13 п.  |  Индекс RGBI: 111,69 п.  |  Оборот MOEX TQBR: 154,44 млрд руб.  |  Оборот СПБ Биржи: 6,477 млрд руб.</w:t>
      </w:r>
    </w:p>
    <w:p>
      <w:pPr>
        <w:keepNext/>
        <w:spacing w:before="320" w:after="120"/>
      </w:pPr>
      <w:r>
        <w:rPr>
          <w:rFonts w:ascii="Georgia" w:hAnsi="Georgia"/>
          <w:b/>
          <w:color w:val="16325B"/>
          <w:sz w:val="30"/>
        </w:rPr>
        <w:t>1. Траектория ключевой ставки ЦБ РФ (21,00% → 14,00%) и поляризация балансов</w:t>
      </w:r>
    </w:p>
    <w:p>
      <w:pPr>
        <w:spacing w:before="0" w:after="160" w:line="283" w:lineRule="auto"/>
      </w:pPr>
      <w:r>
        <w:rPr>
          <w:rFonts w:ascii="Arial" w:hAnsi="Arial"/>
          <w:color w:val="14171C"/>
          <w:sz w:val="21"/>
        </w:rPr>
        <w:t>По данным официальной базы Банка России (cbr.ru/hd_base/KeyRate/), после пика 21,00% годовых в октябре 2024 года регулятор провёл десять последовательных снижений ставки суммарным шагом 700 б.п., установив с 27 июля 2026 года уровень 14,00% годовых (при доходности длинных ОФЗ около 13,4% и фондов ликвидности около 13,85% годовых). Вместе с тем эффективная стоимость корпоративного долга под плавающую ставку (КС + 2,2–3,5%) остаётся в диапазоне 16,2–17,5% годовых, продолжая поглощать основную часть операционной прибыли закредитованных компаний, тогда как эмитенты с отрицательным чистым долгом одновременно получают около 11,9% годовых по депозитам и выигрывают от расширения мультипликаторов.</w:t>
      </w:r>
    </w:p>
    <w:p>
      <w:pPr>
        <w:spacing w:before="0" w:after="160" w:line="283" w:lineRule="auto"/>
      </w:pPr>
      <w:r>
        <w:rPr>
          <w:rFonts w:ascii="Arial" w:hAnsi="Arial"/>
          <w:color w:val="14171C"/>
          <w:sz w:val="21"/>
        </w:rPr>
        <w:t>Детерминированная сверка 62 бухгалтерских тождеств МСФО и РСБУ по 31 ведущему эмитенту восьми отраслей и автоматический парсинг 120 живых новостей (ленты ЦБ РФ, Мосбиржи ISS и деловых СМИ) позволили объединить фундаментальную оценку с корпоративными катализаторами и разделить рекомендации по срокам инвестирования на три горизонта: тактический (1–3 месяца), базовый годовой (6–12 месяцев) и стратегический (1–3 года).</w:t>
      </w:r>
    </w:p>
    <w:p>
      <w:pPr>
        <w:keepNext/>
        <w:spacing w:before="320" w:after="120"/>
      </w:pPr>
      <w:r>
        <w:rPr>
          <w:rFonts w:ascii="Georgia" w:hAnsi="Georgia"/>
          <w:b/>
          <w:color w:val="16325B"/>
          <w:sz w:val="30"/>
        </w:rPr>
        <w:t>2. Отраслевая матрица фундаментальных мультипликаторов и Z-оценок (8 секторов)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blHeader/>
          <w:cantSplit/>
        </w:trPr>
        <w:tc>
          <w:tcPr>
            <w:tcW w:type="dxa" w:w="903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6325B"/>
                <w:sz w:val="17"/>
              </w:rPr>
              <w:t>Отрасль</w:t>
            </w:r>
          </w:p>
        </w:tc>
        <w:tc>
          <w:tcPr>
            <w:tcW w:type="dxa" w:w="903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325B"/>
                <w:sz w:val="17"/>
              </w:rPr>
              <w:t>Бумаг</w:t>
            </w:r>
          </w:p>
        </w:tc>
        <w:tc>
          <w:tcPr>
            <w:tcW w:type="dxa" w:w="903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325B"/>
                <w:sz w:val="17"/>
              </w:rPr>
              <w:t>Капитализ., млрд руб.</w:t>
            </w:r>
          </w:p>
        </w:tc>
        <w:tc>
          <w:tcPr>
            <w:tcW w:type="dxa" w:w="903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325B"/>
                <w:sz w:val="17"/>
              </w:rPr>
              <w:t>EBITDA, млрд руб.</w:t>
            </w:r>
          </w:p>
        </w:tc>
        <w:tc>
          <w:tcPr>
            <w:tcW w:type="dxa" w:w="903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325B"/>
                <w:sz w:val="17"/>
              </w:rPr>
              <w:t>Чист. прибыль, млрд руб.</w:t>
            </w:r>
          </w:p>
        </w:tc>
        <w:tc>
          <w:tcPr>
            <w:tcW w:type="dxa" w:w="903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325B"/>
                <w:sz w:val="17"/>
              </w:rPr>
              <w:t>FCF, млрд руб.</w:t>
            </w:r>
          </w:p>
        </w:tc>
        <w:tc>
          <w:tcPr>
            <w:tcW w:type="dxa" w:w="903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325B"/>
                <w:sz w:val="17"/>
              </w:rPr>
              <w:t>Чист. долг, млрд руб.</w:t>
            </w:r>
          </w:p>
        </w:tc>
        <w:tc>
          <w:tcPr>
            <w:tcW w:type="dxa" w:w="903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325B"/>
                <w:sz w:val="17"/>
              </w:rPr>
              <w:t>Мед. P/E</w:t>
            </w:r>
          </w:p>
        </w:tc>
        <w:tc>
          <w:tcPr>
            <w:tcW w:type="dxa" w:w="903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325B"/>
                <w:sz w:val="17"/>
              </w:rPr>
              <w:t>Сред. ДД</w:t>
            </w:r>
          </w:p>
        </w:tc>
        <w:tc>
          <w:tcPr>
            <w:tcW w:type="dxa" w:w="903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325B"/>
                <w:sz w:val="17"/>
              </w:rPr>
              <w:t>Балл</w:t>
            </w:r>
          </w:p>
        </w:tc>
        <w:tc>
          <w:tcPr>
            <w:tcW w:type="dxa" w:w="903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6325B"/>
                <w:sz w:val="17"/>
              </w:rPr>
              <w:t>Фаворит</w:t>
            </w:r>
          </w:p>
        </w:tc>
      </w:tr>
      <w:tr>
        <w:trPr>
          <w:cantSplit/>
        </w:trPr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Электроэнергетика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271,6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185,0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152,0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53,0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-477,0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1,79×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14,1%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79,7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IRAO (+60,2%)</w:t>
            </w:r>
          </w:p>
        </w:tc>
      </w:tr>
      <w:tr>
        <w:trPr>
          <w:cantSplit/>
        </w:trPr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Финансы и биржевая инфраструктура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7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8 372,2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3 329,1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2 462,2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2 306,8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-162,3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3,84×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12,2%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76,2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BSPB (+67,7%)</w:t>
            </w:r>
          </w:p>
        </w:tc>
      </w:tr>
      <w:tr>
        <w:trPr>
          <w:cantSplit/>
        </w:trPr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Транспорт и морская логистика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208,6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102,0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46,0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56,0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15,0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4,53×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11,1%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73,9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FLOT (+40,6%)</w:t>
            </w:r>
          </w:p>
        </w:tc>
      </w:tr>
      <w:tr>
        <w:trPr>
          <w:cantSplit/>
        </w:trPr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Нефть и газ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8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18 310,2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10 970,0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6 189,0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3 205,0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-4 439,0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3,17×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12,2%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73,8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SNGSP (+68,5%)</w:t>
            </w:r>
          </w:p>
        </w:tc>
      </w:tr>
      <w:tr>
        <w:trPr>
          <w:cantSplit/>
        </w:trPr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Продуктовый ритейл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764,1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477,0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188,0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130,0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390,0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3,83×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15,9%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73,7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X5 (+62,2%)</w:t>
            </w:r>
          </w:p>
        </w:tc>
      </w:tr>
      <w:tr>
        <w:trPr>
          <w:cantSplit/>
        </w:trPr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IT, экосистемы и микроэлектроника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6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2 435,3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363,6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151,6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216,2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-140,0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6,79×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6,0%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62,5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HEAD (+46,8%)</w:t>
            </w:r>
          </w:p>
        </w:tc>
      </w:tr>
      <w:tr>
        <w:trPr>
          <w:cantSplit/>
        </w:trPr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Агрохимия и удобрения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751,0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188,0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104,0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84,0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250,0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7,22×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9,3%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62,1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PHOR (+3,5%)</w:t>
            </w:r>
          </w:p>
        </w:tc>
      </w:tr>
      <w:tr>
        <w:trPr>
          <w:cantSplit/>
        </w:trPr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Золото и металлургия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5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4 809,7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1 607,0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853,0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597,0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1 680,0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4,76×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7,6%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61,2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PLZL (+49,4%)</w:t>
            </w:r>
          </w:p>
        </w:tc>
      </w:tr>
    </w:tbl>
    <w:p>
      <w:pPr>
        <w:keepNext/>
        <w:spacing w:before="320" w:after="120"/>
      </w:pPr>
      <w:r>
        <w:rPr>
          <w:rFonts w:ascii="Georgia" w:hAnsi="Georgia"/>
          <w:b/>
          <w:color w:val="16325B"/>
          <w:sz w:val="30"/>
        </w:rPr>
        <w:t>3. Инвестиционный консультант по 3 горизонтам (1–3М / 6–12М / 1–3Г): ведущие бумаги</w:t>
      </w:r>
    </w:p>
    <w:p>
      <w:pPr>
        <w:spacing w:before="0" w:after="160" w:line="283" w:lineRule="auto"/>
      </w:pPr>
      <w:r>
        <w:rPr>
          <w:rFonts w:ascii="Arial" w:hAnsi="Arial"/>
          <w:color w:val="14171C"/>
          <w:sz w:val="21"/>
        </w:rPr>
        <w:t>На горизонте 1–3 месяца приоритет отдаётся бумагам с зимними промежуточными дивидендными отсечками (ЛУКОЙЛ, ИКС 5, Хэдхантер, Татнефть) и лимитному выкупу эмоциональных октябрьских откатов (Полюс в коридоре 1 081,4–1 139,3 руб., Яндекс в коридоре 3 231,3–3 385,9 руб.). На горизонте 6–12 месяцев максимальную полную доходность генерируют денежные кубышки и банки с высоким запасом капитала (Сургутнефтегаз-п, Банк Санкт-Петербург, Транснефть-п, Мосбиржа, Интер РАО), а на горизонте 1–3 года — компаундеры с высокой рентабельностью капитала (Хэдхантер, ИКС 5, Т-Технологии, Яндекс, Полюс, Элемент).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</w:tblGrid>
      <w:tr>
        <w:trPr>
          <w:tblHeader/>
          <w:cantSplit/>
        </w:trPr>
        <w:tc>
          <w:tcPr>
            <w:tcW w:type="dxa" w:w="828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325B"/>
                <w:sz w:val="17"/>
              </w:rPr>
              <w:t>Ранг</w:t>
            </w:r>
          </w:p>
        </w:tc>
        <w:tc>
          <w:tcPr>
            <w:tcW w:type="dxa" w:w="828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6325B"/>
                <w:sz w:val="17"/>
              </w:rPr>
              <w:t>Тикер</w:t>
            </w:r>
          </w:p>
        </w:tc>
        <w:tc>
          <w:tcPr>
            <w:tcW w:type="dxa" w:w="828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6325B"/>
                <w:sz w:val="17"/>
              </w:rPr>
              <w:t>Эмитент</w:t>
            </w:r>
          </w:p>
        </w:tc>
        <w:tc>
          <w:tcPr>
            <w:tcW w:type="dxa" w:w="828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325B"/>
                <w:sz w:val="17"/>
              </w:rPr>
              <w:t>Цена, руб.</w:t>
            </w:r>
          </w:p>
        </w:tc>
        <w:tc>
          <w:tcPr>
            <w:tcW w:type="dxa" w:w="828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325B"/>
                <w:sz w:val="17"/>
              </w:rPr>
              <w:t>Коридор входа</w:t>
            </w:r>
          </w:p>
        </w:tc>
        <w:tc>
          <w:tcPr>
            <w:tcW w:type="dxa" w:w="828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325B"/>
                <w:sz w:val="17"/>
              </w:rPr>
              <w:t>Доходн. 1–3М</w:t>
            </w:r>
          </w:p>
        </w:tc>
        <w:tc>
          <w:tcPr>
            <w:tcW w:type="dxa" w:w="828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325B"/>
                <w:sz w:val="17"/>
              </w:rPr>
              <w:t>Таргет 12М, руб.</w:t>
            </w:r>
          </w:p>
        </w:tc>
        <w:tc>
          <w:tcPr>
            <w:tcW w:type="dxa" w:w="828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325B"/>
                <w:sz w:val="17"/>
              </w:rPr>
              <w:t>Доходн. 6–12М</w:t>
            </w:r>
          </w:p>
        </w:tc>
        <w:tc>
          <w:tcPr>
            <w:tcW w:type="dxa" w:w="828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325B"/>
                <w:sz w:val="17"/>
              </w:rPr>
              <w:t>3Г CAGR / год</w:t>
            </w:r>
          </w:p>
        </w:tc>
        <w:tc>
          <w:tcPr>
            <w:tcW w:type="dxa" w:w="828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325B"/>
                <w:sz w:val="17"/>
              </w:rPr>
              <w:t>P/E</w:t>
            </w:r>
          </w:p>
        </w:tc>
        <w:tc>
          <w:tcPr>
            <w:tcW w:type="dxa" w:w="828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325B"/>
                <w:sz w:val="17"/>
              </w:rPr>
              <w:t>Балл</w:t>
            </w:r>
          </w:p>
        </w:tc>
        <w:tc>
          <w:tcPr>
            <w:tcW w:type="dxa" w:w="828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6325B"/>
                <w:sz w:val="17"/>
              </w:rPr>
              <w:t>Реком. срок</w:t>
            </w:r>
          </w:p>
        </w:tc>
      </w:tr>
      <w:tr>
        <w:trPr>
          <w:cantSplit/>
        </w:trPr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4171C"/>
                <w:sz w:val="17"/>
              </w:rPr>
              <w:t>1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BSPB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БСП ао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256,00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247,04–257,28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+14,1%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375,30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+67,7%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+37,7%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2,20×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87,9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6–12 мес.</w:t>
            </w:r>
          </w:p>
        </w:tc>
      </w:tr>
      <w:tr>
        <w:trPr>
          <w:cantSplit/>
        </w:trPr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4171C"/>
                <w:sz w:val="17"/>
              </w:rPr>
              <w:t>2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SNGSP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Сургнфгз-п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40,97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39,12–40,76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+17,7%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60,38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+68,5%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+34,6%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0,99×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84,6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8–12 мес.</w:t>
            </w:r>
          </w:p>
        </w:tc>
      </w:tr>
      <w:tr>
        <w:trPr>
          <w:cantSplit/>
        </w:trPr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4171C"/>
                <w:sz w:val="17"/>
              </w:rPr>
              <w:t>3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HEAD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Хэдхантер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2 719,00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2 651,03–2 746,19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+24,2%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3 531,98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+46,8%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+34,2%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5,18×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83,9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12–36 мес.</w:t>
            </w:r>
          </w:p>
        </w:tc>
      </w:tr>
      <w:tr>
        <w:trPr>
          <w:cantSplit/>
        </w:trPr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4171C"/>
                <w:sz w:val="17"/>
              </w:rPr>
              <w:t>4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LKOH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ЛУКОЙЛ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6 024,00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5 873,40–6 084,24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+28,5%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8 801,06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+63,0%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+30,5%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4,24×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83,4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2–3 мес. (тактически) / 12–36 мес. (ядро)</w:t>
            </w:r>
          </w:p>
        </w:tc>
      </w:tr>
      <w:tr>
        <w:trPr>
          <w:cantSplit/>
        </w:trPr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4171C"/>
                <w:sz w:val="17"/>
              </w:rPr>
              <w:t>5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MOEX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МосБиржа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154,80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149,38–155,57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+12,0%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215,79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+55,2%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+32,2%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4,74×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82,2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6–12 мес.</w:t>
            </w:r>
          </w:p>
        </w:tc>
      </w:tr>
      <w:tr>
        <w:trPr>
          <w:cantSplit/>
        </w:trPr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4171C"/>
                <w:sz w:val="17"/>
              </w:rPr>
              <w:t>6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TRNFP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Транснф ап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1 067,00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1 029,65–1 072,33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+14,2%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1 571,69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+64,9%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+30,9%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2,65×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81,5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6–12 мес.</w:t>
            </w:r>
          </w:p>
        </w:tc>
      </w:tr>
      <w:tr>
        <w:trPr>
          <w:cantSplit/>
        </w:trPr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4171C"/>
                <w:sz w:val="17"/>
              </w:rPr>
              <w:t>7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IRAO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ИнтерРАОао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2,5955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2,5047–2,6085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+14,2%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3,7920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+60,2%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+28,6%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1,79×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79,7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6–12 мес.</w:t>
            </w:r>
          </w:p>
        </w:tc>
      </w:tr>
      <w:tr>
        <w:trPr>
          <w:cantSplit/>
        </w:trPr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4171C"/>
                <w:sz w:val="17"/>
              </w:rPr>
              <w:t>8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SBER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Сбербанк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287,30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277,24–288,74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+8,3%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366,02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+40,0%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+28,8%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3,84×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79,0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12–36 мес.</w:t>
            </w:r>
          </w:p>
        </w:tc>
      </w:tr>
      <w:tr>
        <w:trPr>
          <w:cantSplit/>
        </w:trPr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4171C"/>
                <w:sz w:val="17"/>
              </w:rPr>
              <w:t>9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X5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КЦ ИКС 5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2 159,50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2 105,51–2 181,09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+28,2%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3 163,67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+62,2%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+36,1%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4,38×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78,3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3–18 мес.</w:t>
            </w:r>
          </w:p>
        </w:tc>
      </w:tr>
      <w:tr>
        <w:trPr>
          <w:cantSplit/>
        </w:trPr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4171C"/>
                <w:sz w:val="17"/>
              </w:rPr>
              <w:t>10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TATN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Татнфт 3ао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618,90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603,43–625,09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+19,7%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821,28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+48,5%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+29,6%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4,61×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78,1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3–12 мес.</w:t>
            </w:r>
          </w:p>
        </w:tc>
      </w:tr>
      <w:tr>
        <w:trPr>
          <w:cantSplit/>
        </w:trPr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4171C"/>
                <w:sz w:val="17"/>
              </w:rPr>
              <w:t>11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PLZL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Полюс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1 164,60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1 088,90–1 147,13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+18,4%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1 597,83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+49,4%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+32,6%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4,56×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77,6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12–36 мес.</w:t>
            </w:r>
          </w:p>
        </w:tc>
      </w:tr>
      <w:tr>
        <w:trPr>
          <w:cantSplit/>
        </w:trPr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4171C"/>
                <w:sz w:val="17"/>
              </w:rPr>
              <w:t>12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T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Т-Техно ао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270,50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261,03–271,85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+8,8%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327,03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+33,5%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+28,7%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4,59×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76,2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12–36 мес.</w:t>
            </w:r>
          </w:p>
        </w:tc>
      </w:tr>
      <w:tr>
        <w:trPr>
          <w:cantSplit/>
        </w:trPr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4171C"/>
                <w:sz w:val="17"/>
              </w:rPr>
              <w:t>24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YDEX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ЯНДЕКС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3 436,00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3 315,74–3 453,18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+0,9%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3 611,24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+10,3%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+18,5%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11,60×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63,0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12–36 мес.</w:t>
            </w:r>
          </w:p>
        </w:tc>
      </w:tr>
      <w:tr>
        <w:trPr>
          <w:cantSplit/>
        </w:trPr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4171C"/>
                <w:sz w:val="17"/>
              </w:rPr>
              <w:t>23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ELMT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iЭлемент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0,1018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0,0983–0,1024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+7,6%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0,1265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+29,6%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+22,5%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5,57×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65,4</w:t>
            </w:r>
          </w:p>
        </w:tc>
        <w:tc>
          <w:tcPr>
            <w:tcW w:type="dxa" w:w="82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9–24 мес.</w:t>
            </w:r>
          </w:p>
        </w:tc>
      </w:tr>
    </w:tbl>
    <w:p>
      <w:pPr>
        <w:keepNext/>
        <w:spacing w:before="320" w:after="120"/>
      </w:pPr>
      <w:r>
        <w:rPr>
          <w:rFonts w:ascii="Georgia" w:hAnsi="Georgia"/>
          <w:b/>
          <w:color w:val="16325B"/>
          <w:sz w:val="30"/>
        </w:rPr>
        <w:t>4. Структура флагманского модельного портфеля на капитал 1 000 000 рублей</w:t>
      </w:r>
    </w:p>
    <w:p>
      <w:pPr>
        <w:spacing w:before="0" w:after="160" w:line="283" w:lineRule="auto"/>
      </w:pPr>
      <w:r>
        <w:rPr>
          <w:rFonts w:ascii="Arial" w:hAnsi="Arial"/>
          <w:color w:val="14171C"/>
          <w:sz w:val="21"/>
        </w:rPr>
        <w:t>Портфель «Флагманский: Ядро Альфа + Денежные кубышки (MOEX + SPBEX)» (рекомендуемый срок удержания — 6–18 месяцев (Базовое ядро с ребалансировкой раз в квартал под дивидендные отсечки)) объединяет лидеров генерации денежного потока на Московской бирже, технологических эмитентов СПБ Биржи и ликвидный буфер денежного рынка. Ожидаемая полная доходность составляет +17,92% на горизонте 1–3 месяца, +58,94% на горизонте 6–12 месяцев (при дивидендном потоке 17,60%, или 176 049 руб. в год на 1 млн руб.) и +32,02% годовых на трёхлетнем горизонте при гармоническом P/E 2,29×.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blHeader/>
          <w:cantSplit/>
        </w:trPr>
        <w:tc>
          <w:tcPr>
            <w:tcW w:type="dxa" w:w="903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6325B"/>
                <w:sz w:val="17"/>
              </w:rPr>
              <w:t>Тикер</w:t>
            </w:r>
          </w:p>
        </w:tc>
        <w:tc>
          <w:tcPr>
            <w:tcW w:type="dxa" w:w="903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6325B"/>
                <w:sz w:val="17"/>
              </w:rPr>
              <w:t>Инструмент</w:t>
            </w:r>
          </w:p>
        </w:tc>
        <w:tc>
          <w:tcPr>
            <w:tcW w:type="dxa" w:w="903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6325B"/>
                <w:sz w:val="17"/>
              </w:rPr>
              <w:t>Биржа</w:t>
            </w:r>
          </w:p>
        </w:tc>
        <w:tc>
          <w:tcPr>
            <w:tcW w:type="dxa" w:w="903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325B"/>
                <w:sz w:val="17"/>
              </w:rPr>
              <w:t>Доля, %</w:t>
            </w:r>
          </w:p>
        </w:tc>
        <w:tc>
          <w:tcPr>
            <w:tcW w:type="dxa" w:w="903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325B"/>
                <w:sz w:val="17"/>
              </w:rPr>
              <w:t>Сумма, руб.</w:t>
            </w:r>
          </w:p>
        </w:tc>
        <w:tc>
          <w:tcPr>
            <w:tcW w:type="dxa" w:w="903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325B"/>
                <w:sz w:val="17"/>
              </w:rPr>
              <w:t>Цена, руб.</w:t>
            </w:r>
          </w:p>
        </w:tc>
        <w:tc>
          <w:tcPr>
            <w:tcW w:type="dxa" w:w="903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325B"/>
                <w:sz w:val="17"/>
              </w:rPr>
              <w:t>Лотов</w:t>
            </w:r>
          </w:p>
        </w:tc>
        <w:tc>
          <w:tcPr>
            <w:tcW w:type="dxa" w:w="903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325B"/>
                <w:sz w:val="17"/>
              </w:rPr>
              <w:t>Див. 12М</w:t>
            </w:r>
          </w:p>
        </w:tc>
        <w:tc>
          <w:tcPr>
            <w:tcW w:type="dxa" w:w="903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325B"/>
                <w:sz w:val="17"/>
              </w:rPr>
              <w:t>Доходн. 1–3М</w:t>
            </w:r>
          </w:p>
        </w:tc>
        <w:tc>
          <w:tcPr>
            <w:tcW w:type="dxa" w:w="903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325B"/>
                <w:sz w:val="17"/>
              </w:rPr>
              <w:t>Доходн. 6–12М</w:t>
            </w:r>
          </w:p>
        </w:tc>
        <w:tc>
          <w:tcPr>
            <w:tcW w:type="dxa" w:w="903"/>
            <w:shd w:fill="F4F5F7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325B"/>
                <w:sz w:val="17"/>
              </w:rPr>
              <w:t>3Г CAGR</w:t>
            </w:r>
          </w:p>
        </w:tc>
      </w:tr>
      <w:tr>
        <w:trPr>
          <w:cantSplit/>
        </w:trPr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BSPB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БСП ао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MOEX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15,0%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150 000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256,00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58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21,09%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+14,1%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+67,7%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4171C"/>
                <w:sz w:val="17"/>
              </w:rPr>
              <w:t>+37,7%</w:t>
            </w:r>
          </w:p>
        </w:tc>
      </w:tr>
      <w:tr>
        <w:trPr>
          <w:cantSplit/>
        </w:trPr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SNGSP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Сургнфгз-п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MOEX / SPBEX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15,0%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150 000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40,97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366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21,12%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+17,7%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+68,5%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4171C"/>
                <w:sz w:val="17"/>
              </w:rPr>
              <w:t>+34,6%</w:t>
            </w:r>
          </w:p>
        </w:tc>
      </w:tr>
      <w:tr>
        <w:trPr>
          <w:cantSplit/>
        </w:trPr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TRNFP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Транснф ап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MOEX / SPBEX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13,0%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130 000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1 067,00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121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17,62%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+14,2%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+64,9%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4171C"/>
                <w:sz w:val="17"/>
              </w:rPr>
              <w:t>+30,9%</w:t>
            </w:r>
          </w:p>
        </w:tc>
      </w:tr>
      <w:tr>
        <w:trPr>
          <w:cantSplit/>
        </w:trPr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LKOH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ЛУКОЙЛ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MOEX / SPBEX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12,0%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120 000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6 024,00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19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16,93%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+28,5%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+63,0%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4171C"/>
                <w:sz w:val="17"/>
              </w:rPr>
              <w:t>+30,5%</w:t>
            </w:r>
          </w:p>
        </w:tc>
      </w:tr>
      <w:tr>
        <w:trPr>
          <w:cantSplit/>
        </w:trPr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HEAD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Хэдхантер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MOEX / SPBEX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11,0%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110 000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2 719,00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40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16,92%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+24,2%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+46,8%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4171C"/>
                <w:sz w:val="17"/>
              </w:rPr>
              <w:t>+34,2%</w:t>
            </w:r>
          </w:p>
        </w:tc>
      </w:tr>
      <w:tr>
        <w:trPr>
          <w:cantSplit/>
        </w:trPr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MOEX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МосБиржа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MOEX / SPBEX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10,0%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100 000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154,80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64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15,83%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+12,0%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+55,2%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4171C"/>
                <w:sz w:val="17"/>
              </w:rPr>
              <w:t>+32,2%</w:t>
            </w:r>
          </w:p>
        </w:tc>
      </w:tr>
      <w:tr>
        <w:trPr>
          <w:cantSplit/>
        </w:trPr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IRAO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ИнтерРАОао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MOEX / SPBEX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9,0%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90 000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2,5955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346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14,06%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+14,2%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+60,2%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4171C"/>
                <w:sz w:val="17"/>
              </w:rPr>
              <w:t>+28,6%</w:t>
            </w:r>
          </w:p>
        </w:tc>
      </w:tr>
      <w:tr>
        <w:trPr>
          <w:cantSplit/>
        </w:trPr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X5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КЦ ИКС 5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MOEX / SPBEX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9,0%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90 000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2 159,50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41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15,74%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+28,2%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+62,2%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4171C"/>
                <w:sz w:val="17"/>
              </w:rPr>
              <w:t>+36,1%</w:t>
            </w:r>
          </w:p>
        </w:tc>
      </w:tr>
      <w:tr>
        <w:trPr>
          <w:cantSplit/>
        </w:trPr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4171C"/>
                <w:sz w:val="17"/>
              </w:rPr>
              <w:t>TMON@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БПИФ Т-Капитал Денежный рынок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4171C"/>
                <w:sz w:val="17"/>
              </w:rPr>
              <w:t>SPBEX / MOEX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6,0%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60 000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166,27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360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13,75%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+3,4%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4171C"/>
                <w:sz w:val="17"/>
              </w:rPr>
              <w:t>+13,8%</w:t>
            </w:r>
          </w:p>
        </w:tc>
        <w:tc>
          <w:tcPr>
            <w:tcW w:type="dxa" w:w="903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4171C"/>
                <w:sz w:val="17"/>
              </w:rPr>
              <w:t>+11,5%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