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9.png" ContentType="image/png"/>
  <Override PartName="/word/media/rId36.png" ContentType="image/png"/>
  <Override PartName="/word/media/rId43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quality-assurance--quality-control-qaqc"/>
    <w:p>
      <w:pPr>
        <w:pStyle w:val="Heading1"/>
      </w:pPr>
      <w:r>
        <w:t xml:space="preserve">Quality Assurance &amp; Quality Control (QA/QC)</w:t>
      </w:r>
    </w:p>
    <w:p>
      <w:pPr>
        <w:pStyle w:val="FirstParagraph"/>
      </w:pPr>
      <w:r>
        <w:t xml:space="preserve">This document describes the QA/QC framework adopted for the development of the</w:t>
      </w:r>
      <w:r>
        <w:t xml:space="preserve"> </w:t>
      </w:r>
      <w:r>
        <w:rPr>
          <w:b/>
          <w:bCs/>
        </w:rPr>
        <w:t xml:space="preserve">sparsehydro</w:t>
      </w:r>
      <w:r>
        <w:t xml:space="preserve"> </w:t>
      </w:r>
      <w:r>
        <w:t xml:space="preserve">package. It summarizes the engineering practices, automation, and</w:t>
      </w:r>
      <w:r>
        <w:t xml:space="preserve"> </w:t>
      </w:r>
      <w:r>
        <w:t xml:space="preserve">review controls that together ensure the package is correct, reproducible,</w:t>
      </w:r>
      <w:r>
        <w:t xml:space="preserve"> </w:t>
      </w:r>
      <w:r>
        <w:t xml:space="preserve">well-documented, and safe to release for use across multiple Hazen &amp; Sawyer and</w:t>
      </w:r>
      <w:r>
        <w:t xml:space="preserve"> </w:t>
      </w:r>
      <w:r>
        <w:t xml:space="preserve">MSDGC projects.</w:t>
      </w:r>
    </w:p>
    <w:p>
      <w:pPr>
        <w:pStyle w:val="BodyText"/>
      </w:pPr>
      <w:r>
        <w:t xml:space="preserve">The framework rests on five pillars:</w:t>
      </w:r>
    </w:p>
    <w:p>
      <w:pPr>
        <w:pStyle w:val="Compact"/>
        <w:numPr>
          <w:ilvl w:val="0"/>
          <w:numId w:val="1001"/>
        </w:numPr>
      </w:pPr>
      <w:r>
        <w:t xml:space="preserve">A formal</w:t>
      </w:r>
      <w:r>
        <w:t xml:space="preserve"> </w:t>
      </w:r>
      <w:r>
        <w:rPr>
          <w:b/>
          <w:bCs/>
        </w:rPr>
        <w:t xml:space="preserve">Git branching strategy</w:t>
      </w:r>
      <w:r>
        <w:t xml:space="preserve"> </w:t>
      </w:r>
      <w:r>
        <w:t xml:space="preserve">that separates released, staged, and</w:t>
      </w:r>
      <w:r>
        <w:t xml:space="preserve"> </w:t>
      </w:r>
      <w:r>
        <w:t xml:space="preserve">in-development code.</w:t>
      </w:r>
    </w:p>
    <w:p>
      <w:pPr>
        <w:pStyle w:val="Compact"/>
        <w:numPr>
          <w:ilvl w:val="0"/>
          <w:numId w:val="1001"/>
        </w:numPr>
      </w:pPr>
      <w:r>
        <w:t xml:space="preserve">A formal</w:t>
      </w:r>
      <w:r>
        <w:t xml:space="preserve"> </w:t>
      </w:r>
      <w:r>
        <w:rPr>
          <w:b/>
          <w:bCs/>
        </w:rPr>
        <w:t xml:space="preserve">semantic versioning</w:t>
      </w:r>
      <w:r>
        <w:t xml:space="preserve"> </w:t>
      </w:r>
      <w:r>
        <w:t xml:space="preserve">scheme with</w:t>
      </w:r>
      <w:r>
        <w:t xml:space="preserve"> </w:t>
      </w:r>
      <w:r>
        <w:rPr>
          <w:rStyle w:val="VerbatimChar"/>
        </w:rPr>
        <w:t xml:space="preserve">dev → alpha → beta → release</w:t>
      </w:r>
      <w:r>
        <w:t xml:space="preserve"> </w:t>
      </w:r>
      <w:r>
        <w:t xml:space="preserve">progression.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Documented formulations and code structure</w:t>
      </w:r>
      <w:r>
        <w:t xml:space="preserve"> </w:t>
      </w:r>
      <w:r>
        <w:t xml:space="preserve">with diagrams and references to</w:t>
      </w:r>
      <w:r>
        <w:t xml:space="preserve"> </w:t>
      </w:r>
      <w:r>
        <w:t xml:space="preserve">the source literature.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unit and regression testing</w:t>
      </w:r>
      <w:r>
        <w:t xml:space="preserve"> </w:t>
      </w:r>
      <w:r>
        <w:t xml:space="preserve">run by GitHub Actions on every change</w:t>
      </w:r>
      <w:r>
        <w:t xml:space="preserve"> </w:t>
      </w:r>
      <w:r>
        <w:t xml:space="preserve">to protected branches, with broad coverage and a multi-OS / multi-Python matrix.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Mandatory pull-request review</w:t>
      </w:r>
      <w:r>
        <w:t xml:space="preserve"> </w:t>
      </w:r>
      <w:r>
        <w:t xml:space="preserve">by a senior engineer, gated by a standardized</w:t>
      </w:r>
      <w:r>
        <w:t xml:space="preserve"> </w:t>
      </w:r>
      <w:r>
        <w:t xml:space="preserve">PR checklist, before any code is merged.</w:t>
      </w:r>
    </w:p>
    <w:p>
      <w:pPr>
        <w:pStyle w:val="CaptionedFigure"/>
      </w:pPr>
      <w:r>
        <w:drawing>
          <wp:inline>
            <wp:extent cx="5334000" cy="394576"/>
            <wp:effectExtent b="0" l="0" r="0" t="0"/>
            <wp:docPr descr="Figure 1" title="" id="10" name="Picture"/>
            <a:graphic>
              <a:graphicData uri="http://schemas.openxmlformats.org/drawingml/2006/picture">
                <pic:pic>
                  <pic:nvPicPr>
                    <pic:cNvPr descr="_assets/qaqc_figure_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r>
        <w:pict>
          <v:rect style="width:0;height:1.5pt" o:hralign="center" o:hrstd="t" o:hr="t"/>
        </w:pict>
      </w:r>
    </w:p>
    <w:bookmarkStart w:id="16" w:name="X0f0a7a9b8c6f0908937632bba6015b9d218128c"/>
    <w:p>
      <w:pPr>
        <w:pStyle w:val="Heading2"/>
      </w:pPr>
      <w:r>
        <w:t xml:space="preserve">1. Branching strategy</w:t>
      </w:r>
    </w:p>
    <w:p>
      <w:pPr>
        <w:pStyle w:val="FirstParagraph"/>
      </w:pPr>
      <w:r>
        <w:t xml:space="preserve">sparsehydro follows a formal, GitHub-Flow-derived branching model (a streamlined</w:t>
      </w:r>
      <w:r>
        <w:t xml:space="preserve"> </w:t>
      </w:r>
      <w:r>
        <w:t xml:space="preserve">Git Flow) so that what is</w:t>
      </w:r>
      <w:r>
        <w:t xml:space="preserve"> </w:t>
      </w:r>
      <w:r>
        <w:rPr>
          <w:i/>
          <w:iCs/>
        </w:rPr>
        <w:t xml:space="preserve">released</w:t>
      </w:r>
      <w:r>
        <w:t xml:space="preserve">, what is</w:t>
      </w:r>
      <w:r>
        <w:t xml:space="preserve"> </w:t>
      </w:r>
      <w:r>
        <w:rPr>
          <w:i/>
          <w:iCs/>
        </w:rPr>
        <w:t xml:space="preserve">staged for the next release</w:t>
      </w:r>
      <w:r>
        <w:t xml:space="preserve">, and</w:t>
      </w:r>
      <w:r>
        <w:t xml:space="preserve"> </w:t>
      </w:r>
      <w:r>
        <w:t xml:space="preserve">what is</w:t>
      </w:r>
      <w:r>
        <w:t xml:space="preserve"> </w:t>
      </w:r>
      <w:r>
        <w:rPr>
          <w:i/>
          <w:iCs/>
        </w:rPr>
        <w:t xml:space="preserve">in active development</w:t>
      </w:r>
      <w:r>
        <w:t xml:space="preserve"> </w:t>
      </w:r>
      <w:r>
        <w:t xml:space="preserve">are always cleanly separated.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Deploys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Production / released code only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GitHub Pages docs; PyPI on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Integration / staging for next release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GitHub Pages (preview)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feature/&lt;name&gt;</w:t>
            </w:r>
          </w:p>
        </w:tc>
        <w:tc>
          <w:tcPr/>
          <w:p>
            <w:pPr>
              <w:pStyle w:val="Compact"/>
            </w:pPr>
            <w:r>
              <w:t xml:space="preserve">New capabilities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bugfix/&lt;name&gt;</w:t>
            </w:r>
          </w:p>
        </w:tc>
        <w:tc>
          <w:tcPr/>
          <w:p>
            <w:pPr>
              <w:pStyle w:val="Compact"/>
            </w:pPr>
            <w:r>
              <w:t xml:space="preserve">Defect fixes against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hotfix/&lt;name&gt;</w:t>
            </w:r>
          </w:p>
        </w:tc>
        <w:tc>
          <w:tcPr/>
          <w:p>
            <w:pPr>
              <w:pStyle w:val="Compact"/>
            </w:pPr>
            <w:r>
              <w:t xml:space="preserve">Urgent fixes branched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release/&lt;x.y.z&gt;</w:t>
            </w:r>
          </w:p>
        </w:tc>
        <w:tc>
          <w:tcPr/>
          <w:p>
            <w:pPr>
              <w:pStyle w:val="Compact"/>
            </w:pPr>
            <w:r>
              <w:t xml:space="preserve">Release stabilization / RC hardening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Pre-release artifacts</w:t>
            </w:r>
          </w:p>
        </w:tc>
      </w:tr>
    </w:tbl>
    <w:bookmarkStart w:id="15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is always releasable.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hotfix/*</w:t>
      </w:r>
      <w:r>
        <w:t xml:space="preserve"> </w:t>
      </w:r>
      <w:r>
        <w:t xml:space="preserve">branches merge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every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tagged with a semantic version.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develop</w:t>
      </w:r>
      <w:r>
        <w:rPr>
          <w:b/>
          <w:bCs/>
        </w:rPr>
        <w:t xml:space="preserve"> </w:t>
      </w:r>
      <w:r>
        <w:rPr>
          <w:b/>
          <w:bCs/>
        </w:rPr>
        <w:t xml:space="preserve">is the staging trunk.</w:t>
      </w:r>
      <w:r>
        <w:t xml:space="preserve"> </w:t>
      </w:r>
      <w:r>
        <w:t xml:space="preserve">Day-to-day feature and bugfix branches are</w:t>
      </w:r>
      <w:r>
        <w:t xml:space="preserve"> </w:t>
      </w:r>
      <w:r>
        <w:t xml:space="preserve">cut from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and merged back into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via reviewed pull requests.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Short-lived topic branches.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bugfix/*</w:t>
      </w:r>
      <w:r>
        <w:t xml:space="preserve"> </w:t>
      </w:r>
      <w:r>
        <w:t xml:space="preserve">branches are scoped to</w:t>
      </w:r>
      <w:r>
        <w:t xml:space="preserve"> </w:t>
      </w:r>
      <w:r>
        <w:t xml:space="preserve">a single change, kept short-lived, and deleted after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Hotfixes</w:t>
      </w:r>
      <w:r>
        <w:t xml:space="preserve"> </w:t>
      </w:r>
      <w:r>
        <w:t xml:space="preserve">branch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are merged back into both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</w:t>
      </w:r>
      <w:r>
        <w:t xml:space="preserve"> </w:t>
      </w:r>
      <w:r>
        <w:t xml:space="preserve">and trigger a patch release.</w:t>
      </w:r>
    </w:p>
    <w:p>
      <w:pPr>
        <w:pStyle w:val="CaptionedFigure"/>
      </w:pPr>
      <w:r>
        <w:drawing>
          <wp:inline>
            <wp:extent cx="5334000" cy="3215013"/>
            <wp:effectExtent b="0" l="0" r="0" t="0"/>
            <wp:docPr descr="Figure 2" title="" id="13" name="Picture"/>
            <a:graphic>
              <a:graphicData uri="http://schemas.openxmlformats.org/drawingml/2006/picture">
                <pic:pic>
                  <pic:nvPicPr>
                    <pic:cNvPr descr="_assets/qaqc_figure_0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t xml:space="preserve">The CI workflows enforce this topology: tests and docs run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and on every pull request targeting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the PyPI</w:t>
      </w:r>
      <w:r>
        <w:t xml:space="preserve"> </w:t>
      </w:r>
      <w:r>
        <w:t xml:space="preserve">publish workflow only fires on a published GitHub Release (see</w:t>
      </w:r>
      <w:r>
        <w:t xml:space="preserve"> </w:t>
      </w:r>
      <w:hyperlink w:anchor="X56006184478add9fe9ce7e6c1f1cdfd255b5431">
        <w:r>
          <w:rPr>
            <w:rStyle w:val="Hyperlink"/>
          </w:rPr>
          <w:t xml:space="preserve">Automated testing &amp; CI/CD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7" w:name="Xd4af71615698a0b79b83148495696f841ca8807"/>
    <w:p>
      <w:pPr>
        <w:pStyle w:val="Heading2"/>
      </w:pPr>
      <w:r>
        <w:t xml:space="preserve">2. Semantic versioning</w:t>
      </w:r>
    </w:p>
    <w:p>
      <w:pPr>
        <w:pStyle w:val="FirstParagraph"/>
      </w:pPr>
      <w:r>
        <w:t xml:space="preserve">sparsehydro adopts</w:t>
      </w:r>
      <w:r>
        <w:t xml:space="preserve"> </w:t>
      </w:r>
      <w:hyperlink r:id="rId17">
        <w:r>
          <w:rPr>
            <w:rStyle w:val="Hyperlink"/>
          </w:rPr>
          <w:t xml:space="preserve">Semantic Versioning 2.0.0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MAJOR.MINOR.PATCH</w:t>
      </w:r>
      <w:r>
        <w:t xml:space="preserve">)</w:t>
      </w:r>
      <w:r>
        <w:t xml:space="preserve"> </w:t>
      </w:r>
      <w:r>
        <w:t xml:space="preserve">with a formal pre-release progression. The current published version is</w:t>
      </w:r>
      <w:r>
        <w:t xml:space="preserve"> </w:t>
      </w:r>
      <w:r>
        <w:rPr>
          <w:b/>
          <w:bCs/>
        </w:rPr>
        <w:t xml:space="preserve">0.1.0</w:t>
      </w:r>
      <w:r>
        <w:t xml:space="preserve"> </w:t>
      </w:r>
      <w:r>
        <w:t xml:space="preserve">and the package is classified as</w:t>
      </w:r>
      <w:r>
        <w:t xml:space="preserve"> </w:t>
      </w:r>
      <w:r>
        <w:rPr>
          <w:rStyle w:val="VerbatimChar"/>
        </w:rPr>
        <w:t xml:space="preserve">Development Status :: 3 - Alpha</w:t>
      </w:r>
      <w:r>
        <w:t xml:space="preserve"> </w:t>
      </w:r>
      <w:r>
        <w:t xml:space="preserve">in</w:t>
      </w:r>
      <w:r>
        <w:t xml:space="preserve"> </w:t>
      </w:r>
      <w:hyperlink r:id="rId18">
        <w:r>
          <w:rPr>
            <w:rStyle w:val="Hyperlink"/>
          </w:rPr>
          <w:t xml:space="preserve">pyproject.toml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Increment when…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Backwards-incompatible API changes (e.g.</w:t>
            </w:r>
            <w:r>
              <w:t xml:space="preserve"> </w:t>
            </w:r>
            <w:r>
              <w:rPr>
                <w:rStyle w:val="VerbatimChar"/>
              </w:rPr>
              <w:t xml:space="preserve">IModel</w:t>
            </w:r>
            <w:r>
              <w:t xml:space="preserve"> </w:t>
            </w:r>
            <w:r>
              <w:t xml:space="preserve">contract changes).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Backwards-compatible features (new model, solver, or objective).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Backwards-compatible bug fixes only.</w:t>
            </w:r>
          </w:p>
        </w:tc>
      </w:tr>
    </w:tbl>
    <w:bookmarkStart w:id="26" w:name="pre-release-channels"/>
    <w:p>
      <w:pPr>
        <w:pStyle w:val="Heading3"/>
      </w:pPr>
      <w:r>
        <w:t xml:space="preserve">Pre-release channels</w:t>
      </w:r>
    </w:p>
    <w:p>
      <w:pPr>
        <w:pStyle w:val="FirstParagraph"/>
      </w:pPr>
      <w:r>
        <w:t xml:space="preserve">Releases mature through a defined sequence of pre-release identifiers before a</w:t>
      </w:r>
      <w:r>
        <w:t xml:space="preserve"> </w:t>
      </w:r>
      <w:r>
        <w:t xml:space="preserve">final release:</w:t>
      </w:r>
    </w:p>
    <w:p>
      <w:pPr>
        <w:pStyle w:val="CaptionedFigure"/>
      </w:pPr>
      <w:r>
        <w:drawing>
          <wp:inline>
            <wp:extent cx="5334000" cy="554892"/>
            <wp:effectExtent b="0" l="0" r="0" t="0"/>
            <wp:docPr descr="Figure 3" title="" id="20" name="Picture"/>
            <a:graphic>
              <a:graphicData uri="http://schemas.openxmlformats.org/drawingml/2006/picture">
                <pic:pic>
                  <pic:nvPicPr>
                    <pic:cNvPr descr="_assets/qaqc_figure_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Identifier (PEP 440)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X.Y.Z.devN</w:t>
            </w:r>
          </w:p>
        </w:tc>
        <w:tc>
          <w:tcPr/>
          <w:p>
            <w:pPr>
              <w:pStyle w:val="Compact"/>
            </w:pPr>
            <w:r>
              <w:t xml:space="preserve">Active integration on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; API may change daily.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X.Y.ZaN</w:t>
            </w:r>
          </w:p>
        </w:tc>
        <w:tc>
          <w:tcPr/>
          <w:p>
            <w:pPr>
              <w:pStyle w:val="Compact"/>
            </w:pPr>
            <w:r>
              <w:t xml:space="preserve">Feature-complete; internal testing; API mostly stable.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X.Y.ZbN</w:t>
            </w:r>
          </w:p>
        </w:tc>
        <w:tc>
          <w:tcPr/>
          <w:p>
            <w:pPr>
              <w:pStyle w:val="Compact"/>
            </w:pPr>
            <w:r>
              <w:t xml:space="preserve">Validated against real project data; only fixes expected.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X.Y.ZrcN</w:t>
            </w:r>
          </w:p>
        </w:tc>
        <w:tc>
          <w:tcPr/>
          <w:p>
            <w:pPr>
              <w:pStyle w:val="Compact"/>
            </w:pPr>
            <w:r>
              <w:t xml:space="preserve">Release candidate; documentation and changelog finalized.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X.Y.Z</w:t>
            </w:r>
          </w:p>
        </w:tc>
        <w:tc>
          <w:tcPr/>
          <w:p>
            <w:pPr>
              <w:pStyle w:val="Compact"/>
            </w:pPr>
            <w:r>
              <w:t xml:space="preserve">Tagged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published to PyPI; entered in CHANGELOG.</w:t>
            </w:r>
          </w:p>
        </w:tc>
      </w:tr>
    </w:tbl>
    <w:p>
      <w:pPr>
        <w:pStyle w:val="BodyText"/>
      </w:pPr>
      <w:r>
        <w:t xml:space="preserve">The package version is declared in two synchronized locations —</w:t>
      </w:r>
      <w:r>
        <w:t xml:space="preserve"> </w:t>
      </w:r>
      <w:hyperlink r:id="rId18">
        <w:r>
          <w:rPr>
            <w:rStyle w:val="VerbatimChar"/>
          </w:rPr>
          <w:t xml:space="preserve">pyproject.toml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[project].version</w:t>
      </w:r>
      <w:r>
        <w:t xml:space="preserve">) and</w:t>
      </w:r>
      <w:r>
        <w:t xml:space="preserve"> </w:t>
      </w:r>
      <w:hyperlink r:id="rId22">
        <w:r>
          <w:rPr>
            <w:rStyle w:val="VerbatimChar"/>
          </w:rPr>
          <w:t xml:space="preserve">sparsehydro/__init__.py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__version__</w:t>
      </w:r>
      <w:r>
        <w:t xml:space="preserve">) — and every</w:t>
      </w:r>
      <w:r>
        <w:t xml:space="preserve"> </w:t>
      </w:r>
      <w:r>
        <w:t xml:space="preserve">release is recorded in</w:t>
      </w:r>
      <w:r>
        <w:t xml:space="preserve"> </w:t>
      </w:r>
      <w:hyperlink r:id="rId23">
        <w:r>
          <w:rPr>
            <w:rStyle w:val="Hyperlink"/>
          </w:rPr>
          <w:t xml:space="preserve">CHANGELOG.md</w:t>
        </w:r>
      </w:hyperlink>
      <w:r>
        <w:t xml:space="preserve"> </w:t>
      </w:r>
      <w:r>
        <w:t xml:space="preserve">following the</w:t>
      </w:r>
      <w:r>
        <w:t xml:space="preserve"> </w:t>
      </w:r>
      <w:hyperlink r:id="rId24">
        <w:r>
          <w:rPr>
            <w:rStyle w:val="Hyperlink"/>
          </w:rPr>
          <w:t xml:space="preserve">Keep a Changelog</w:t>
        </w:r>
      </w:hyperlink>
      <w:r>
        <w:t xml:space="preserve"> </w:t>
      </w:r>
      <w:r>
        <w:t xml:space="preserve">convention. The Python version</w:t>
      </w:r>
      <w:r>
        <w:t xml:space="preserve"> </w:t>
      </w:r>
      <w:r>
        <w:t xml:space="preserve">identifiers above conform to</w:t>
      </w:r>
      <w:r>
        <w:t xml:space="preserve"> </w:t>
      </w:r>
      <w:hyperlink r:id="rId25">
        <w:r>
          <w:rPr>
            <w:rStyle w:val="Hyperlink"/>
          </w:rPr>
          <w:t xml:space="preserve">PEP 440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2" w:name="X4a521e282063c5b9e1ad62dc96151677e4456ef"/>
    <w:p>
      <w:pPr>
        <w:pStyle w:val="Heading2"/>
      </w:pPr>
      <w:r>
        <w:t xml:space="preserve">3. Documented formulations &amp; code structure</w:t>
      </w:r>
    </w:p>
    <w:p>
      <w:pPr>
        <w:pStyle w:val="FirstParagraph"/>
      </w:pPr>
      <w:r>
        <w:t xml:space="preserve">Every model formulation and architectural decision is documented in version-controlled</w:t>
      </w:r>
      <w:r>
        <w:t xml:space="preserve"> </w:t>
      </w:r>
      <w:r>
        <w:t xml:space="preserve">Markdown/reStructuredText, rendered to HTML via Sphinx, and published to GitHub Pages.</w:t>
      </w:r>
      <w:r>
        <w:t xml:space="preserve"> </w:t>
      </w:r>
      <w:r>
        <w:t xml:space="preserve">Documentation is treated as a build artifact: the docs job compiles with</w:t>
      </w:r>
      <w:r>
        <w:t xml:space="preserve"> </w:t>
      </w:r>
      <w:r>
        <w:rPr>
          <w:rStyle w:val="VerbatimChar"/>
        </w:rPr>
        <w:t xml:space="preserve">sphinx-build -W --keep-going</w:t>
      </w:r>
      <w:r>
        <w:t xml:space="preserve">, so</w:t>
      </w:r>
      <w:r>
        <w:t xml:space="preserve"> </w:t>
      </w:r>
      <w:r>
        <w:rPr>
          <w:b/>
          <w:bCs/>
        </w:rPr>
        <w:t xml:space="preserve">any warning (a broken cross-reference, an</w:t>
      </w:r>
      <w:r>
        <w:rPr>
          <w:b/>
          <w:bCs/>
        </w:rPr>
        <w:t xml:space="preserve"> </w:t>
      </w:r>
      <w:r>
        <w:rPr>
          <w:b/>
          <w:bCs/>
        </w:rPr>
        <w:t xml:space="preserve">undocumented symbol, a malformed directive) fails the build</w:t>
      </w:r>
      <w:r>
        <w:t xml:space="preserve">.</w:t>
      </w:r>
    </w:p>
    <w:bookmarkStart w:id="34" w:name="documentation-set"/>
    <w:p>
      <w:pPr>
        <w:pStyle w:val="Heading3"/>
      </w:pPr>
      <w:r>
        <w:t xml:space="preserve">Documentation 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DESIGN.md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Package design: lifecycle, parameter system,</w:t>
            </w:r>
            <w:r>
              <w:t xml:space="preserve"> </w:t>
            </w:r>
            <w:r>
              <w:rPr>
                <w:rStyle w:val="VerbatimChar"/>
              </w:rPr>
              <w:t xml:space="preserve">IModel</w:t>
            </w:r>
            <w:r>
              <w:t xml:space="preserve"> </w:t>
            </w:r>
            <w:r>
              <w:t xml:space="preserve">ABC.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docs/rdii_design.md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Physics-based RDII / Initial-Abstraction formulation.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docs/combined_model.md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Configurable composite IA + unit-hydrograph model.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docs/unithydrograph_strategy.md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Unit-hydrograph subpackage architecture.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docs/getting_started.rst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End-to-end calibration walkthrough.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docs/api.rst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Autodoc API reference with literature citations.</w:t>
            </w:r>
          </w:p>
        </w:tc>
      </w:tr>
    </w:tbl>
    <w:bookmarkEnd w:id="34"/>
    <w:bookmarkStart w:id="35" w:name="X8563b1250f46453192ccf76db61e3a5f7ccbe5c"/>
    <w:p>
      <w:pPr>
        <w:pStyle w:val="Heading3"/>
      </w:pPr>
      <w:r>
        <w:t xml:space="preserve">Formulations are mathematically specified</w:t>
      </w:r>
    </w:p>
    <w:p>
      <w:pPr>
        <w:pStyle w:val="FirstParagraph"/>
      </w:pPr>
      <w:r>
        <w:t xml:space="preserve">Model equations are written out in LaTeX so reviewers can check the implementation</w:t>
      </w:r>
      <w:r>
        <w:t xml:space="preserve"> </w:t>
      </w:r>
      <w:r>
        <w:t xml:space="preserve">against the math. For example, the RDII Initial-Abstraction recovery and depletion</w:t>
      </w:r>
      <w:r>
        <w:t xml:space="preserve"> </w:t>
      </w:r>
      <w:r>
        <w:t xml:space="preserve">ODEs are documented in</w:t>
      </w:r>
      <w:r>
        <w:t xml:space="preserve"> </w:t>
      </w:r>
      <w:hyperlink r:id="rId29">
        <w:r>
          <w:rPr>
            <w:rStyle w:val="Hyperlink"/>
          </w:rPr>
          <w:t xml:space="preserve">docs/rdii_design.md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sSub>
            <m:e>
              <m:r>
                <m:t>A</m:t>
              </m:r>
            </m:e>
            <m:sub>
              <m:r>
                <m:t>a</m:t>
              </m:r>
              <m:r>
                <m:t>v</m:t>
              </m:r>
              <m:r>
                <m:t>a</m:t>
              </m:r>
              <m:r>
                <m:t>i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sSub>
            <m:e>
              <m:r>
                <m:t>A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A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</m:oMath>
      </m:oMathPara>
    </w:p>
    <w:bookmarkEnd w:id="35"/>
    <w:bookmarkStart w:id="39" w:name="architecture-is-documented-with-diagrams"/>
    <w:p>
      <w:pPr>
        <w:pStyle w:val="Heading3"/>
      </w:pPr>
      <w:r>
        <w:t xml:space="preserve">Architecture is documented with diagrams</w:t>
      </w:r>
    </w:p>
    <w:p>
      <w:pPr>
        <w:pStyle w:val="FirstParagraph"/>
      </w:pPr>
      <w:r>
        <w:t xml:space="preserve">The README and Sphinx docs include Mermaid class, flow, and sequence diagrams that</w:t>
      </w:r>
      <w:r>
        <w:t xml:space="preserve"> </w:t>
      </w:r>
      <w:r>
        <w:t xml:space="preserve">are kept in sync with the code. The core abstractions and their relationships:</w:t>
      </w:r>
    </w:p>
    <w:p>
      <w:pPr>
        <w:pStyle w:val="CaptionedFigure"/>
      </w:pPr>
      <w:r>
        <w:drawing>
          <wp:inline>
            <wp:extent cx="5334000" cy="1086986"/>
            <wp:effectExtent b="0" l="0" r="0" t="0"/>
            <wp:docPr descr="Figure 4" title="" id="37" name="Picture"/>
            <a:graphic>
              <a:graphicData uri="http://schemas.openxmlformats.org/drawingml/2006/picture">
                <pic:pic>
                  <pic:nvPicPr>
                    <pic:cNvPr descr="_assets/qaqc_figure_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bookmarkEnd w:id="39"/>
    <w:bookmarkStart w:id="41" w:name="implementations-cite-their-sources"/>
    <w:p>
      <w:pPr>
        <w:pStyle w:val="Heading3"/>
      </w:pPr>
      <w:r>
        <w:t xml:space="preserve">Implementations cite their sources</w:t>
      </w:r>
    </w:p>
    <w:p>
      <w:pPr>
        <w:pStyle w:val="FirstParagraph"/>
      </w:pPr>
      <w:r>
        <w:t xml:space="preserve">Documented formulations reference the peer-reviewed literature they implement so</w:t>
      </w:r>
      <w:r>
        <w:t xml:space="preserve"> </w:t>
      </w:r>
      <w:r>
        <w:t xml:space="preserve">that the modeling assumptions are traceable. Key references:</w:t>
      </w:r>
    </w:p>
    <w:p>
      <w:pPr>
        <w:pStyle w:val="Compact"/>
        <w:numPr>
          <w:ilvl w:val="0"/>
          <w:numId w:val="1003"/>
        </w:numPr>
      </w:pPr>
      <w:r>
        <w:t xml:space="preserve">Edgren, J., Czachorski, R., &amp; Gonwa, W. (2024).</w:t>
      </w:r>
      <w:r>
        <w:t xml:space="preserve"> </w:t>
      </w:r>
      <w:r>
        <w:rPr>
          <w:i/>
          <w:iCs/>
        </w:rPr>
        <w:t xml:space="preserve">Antecedent Moisture Model.</w:t>
      </w:r>
      <w:r>
        <w:t xml:space="preserve"> </w:t>
      </w:r>
      <w:r>
        <w:rPr>
          <w:b/>
          <w:bCs/>
        </w:rPr>
        <w:t xml:space="preserve">Journal of Water Management Modeling, 32</w:t>
      </w:r>
      <w:r>
        <w:t xml:space="preserve">, C525.</w:t>
      </w:r>
      <w:r>
        <w:t xml:space="preserve"> </w:t>
      </w:r>
      <w:hyperlink r:id="rId40">
        <w:r>
          <w:rPr>
            <w:rStyle w:val="Hyperlink"/>
          </w:rPr>
          <w:t xml:space="preserve">https://doi.org/10.14796/JWMM.C525</w:t>
        </w:r>
      </w:hyperlink>
      <w:r>
        <w:t xml:space="preserve"> </w:t>
      </w:r>
      <w:r>
        <w:t xml:space="preserve">— implemented by</w:t>
      </w:r>
      <w:r>
        <w:t xml:space="preserve"> </w:t>
      </w:r>
      <w:r>
        <w:rPr>
          <w:rStyle w:val="VerbatimChar"/>
        </w:rPr>
        <w:t xml:space="preserve">sparsehydro.models.amm.AMMModel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Nash, J. E., &amp; Sutcliffe, J. V. (1970). River flow forecasting through conceptual</w:t>
      </w:r>
      <w:r>
        <w:t xml:space="preserve"> </w:t>
      </w:r>
      <w:r>
        <w:t xml:space="preserve">models part I.</w:t>
      </w:r>
      <w:r>
        <w:t xml:space="preserve"> </w:t>
      </w:r>
      <w:r>
        <w:rPr>
          <w:i/>
          <w:iCs/>
        </w:rPr>
        <w:t xml:space="preserve">Journal of Hydrology, 10(3)</w:t>
      </w:r>
      <w:r>
        <w:t xml:space="preserve">, 282–290 —</w:t>
      </w:r>
      <w:r>
        <w:t xml:space="preserve"> </w:t>
      </w:r>
      <w:r>
        <w:rPr>
          <w:rStyle w:val="VerbatimChar"/>
        </w:rPr>
        <w:t xml:space="preserve">NashSutcliffe</w:t>
      </w:r>
      <w:r>
        <w:t xml:space="preserve"> </w:t>
      </w:r>
      <w:r>
        <w:t xml:space="preserve">objective.</w:t>
      </w:r>
    </w:p>
    <w:p>
      <w:pPr>
        <w:pStyle w:val="Compact"/>
        <w:numPr>
          <w:ilvl w:val="0"/>
          <w:numId w:val="1003"/>
        </w:numPr>
      </w:pPr>
      <w:r>
        <w:t xml:space="preserve">Gupta, H. V., Kling, H., Yilmaz, K. K., &amp; Martinez, G. F. (2009). Decomposition of</w:t>
      </w:r>
      <w:r>
        <w:t xml:space="preserve"> </w:t>
      </w:r>
      <w:r>
        <w:t xml:space="preserve">the mean squared error and NSE performance criteria.</w:t>
      </w:r>
      <w:r>
        <w:t xml:space="preserve"> </w:t>
      </w:r>
      <w:r>
        <w:rPr>
          <w:i/>
          <w:iCs/>
        </w:rPr>
        <w:t xml:space="preserve">Journal of Hydrology, 377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KGE</w:t>
      </w:r>
      <w:r>
        <w:t xml:space="preserve"> </w:t>
      </w:r>
      <w:r>
        <w:t xml:space="preserve">objective.</w:t>
      </w:r>
    </w:p>
    <w:p>
      <w:pPr>
        <w:pStyle w:val="Compact"/>
        <w:numPr>
          <w:ilvl w:val="0"/>
          <w:numId w:val="1003"/>
        </w:numPr>
      </w:pPr>
      <w:r>
        <w:t xml:space="preserve">Deb, K., Pratap, A., Agarwal, S., &amp; Meyarivan, T. (2002). A fast and elitist</w:t>
      </w:r>
      <w:r>
        <w:t xml:space="preserve"> </w:t>
      </w:r>
      <w:r>
        <w:t xml:space="preserve">multiobjective genetic algorithm: NSGA-II.</w:t>
      </w:r>
      <w:r>
        <w:t xml:space="preserve"> </w:t>
      </w:r>
      <w:r>
        <w:rPr>
          <w:i/>
          <w:iCs/>
        </w:rPr>
        <w:t xml:space="preserve">IEEE Trans. Evol. Comput., 6(2)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NSGAIISolver</w:t>
      </w:r>
      <w:r>
        <w:t xml:space="preserve"> </w:t>
      </w:r>
      <w:r>
        <w:t xml:space="preserve">(via pymoo).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2" w:name="X56006184478add9fe9ce7e6c1f1cdfd255b5431"/>
    <w:p>
      <w:pPr>
        <w:pStyle w:val="Heading2"/>
      </w:pPr>
      <w:r>
        <w:t xml:space="preserve">4. Automated testing &amp; CI/CD</w:t>
      </w:r>
    </w:p>
    <w:p>
      <w:pPr>
        <w:pStyle w:val="FirstParagraph"/>
      </w:pPr>
      <w:r>
        <w:t xml:space="preserve">All correctness checks are automated with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and run on every push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and on every pull request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No change reaches a</w:t>
      </w:r>
      <w:r>
        <w:t xml:space="preserve"> </w:t>
      </w:r>
      <w:r>
        <w:t xml:space="preserve">protected branch without a green test suite.</w:t>
      </w:r>
    </w:p>
    <w:bookmarkStart w:id="46" w:name="test-suite-scope"/>
    <w:p>
      <w:pPr>
        <w:pStyle w:val="Heading3"/>
      </w:pPr>
      <w:r>
        <w:t xml:space="preserve">Test suite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functions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646</w:t>
            </w:r>
            <w:r>
              <w:t xml:space="preserve"> </w:t>
            </w:r>
            <w:r>
              <w:t xml:space="preserve">across</w:t>
            </w:r>
            <w:r>
              <w:t xml:space="preserve"> </w:t>
            </w:r>
            <w:r>
              <w:rPr>
                <w:b/>
                <w:bCs/>
              </w:rPr>
              <w:t xml:space="preserve">18</w:t>
            </w:r>
            <w:r>
              <w:t xml:space="preserve"> </w:t>
            </w:r>
            <w:r>
              <w:t xml:space="preserve">test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pytest-cov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systems</w:t>
            </w:r>
          </w:p>
        </w:tc>
        <w:tc>
          <w:tcPr/>
          <w:p>
            <w:pPr>
              <w:pStyle w:val="Compact"/>
            </w:pPr>
            <w:r>
              <w:t xml:space="preserve">Ubuntu, Windows,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versions</w:t>
            </w:r>
          </w:p>
        </w:tc>
        <w:tc>
          <w:tcPr/>
          <w:p>
            <w:pPr>
              <w:pStyle w:val="Compact"/>
            </w:pPr>
            <w:r>
              <w:t xml:space="preserve">3.10, 3.11, 3.12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combinations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  <w:r>
              <w:t xml:space="preserve"> </w:t>
            </w:r>
            <w:r>
              <w:t xml:space="preserve">(3 OS × 3 Python)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--cov-report=term-missing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coverage.xml</w:t>
            </w:r>
            <w:r>
              <w:t xml:space="preserve"> </w:t>
            </w:r>
            <w:r>
              <w:t xml:space="preserve">→ Codecov</w:t>
            </w:r>
          </w:p>
        </w:tc>
      </w:tr>
    </w:tbl>
    <w:p>
      <w:pPr>
        <w:pStyle w:val="BodyText"/>
      </w:pPr>
      <w:r>
        <w:t xml:space="preserve">The suite combines</w:t>
      </w:r>
      <w:r>
        <w:t xml:space="preserve"> </w:t>
      </w:r>
      <w:r>
        <w:rPr>
          <w:b/>
          <w:bCs/>
        </w:rPr>
        <w:t xml:space="preserve">unit tests</w:t>
      </w:r>
      <w:r>
        <w:t xml:space="preserve"> </w:t>
      </w:r>
      <w:r>
        <w:t xml:space="preserve">(parameters, enums, registry, interfaces, objectives)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regression tests</w:t>
      </w:r>
      <w:r>
        <w:t xml:space="preserve"> </w:t>
      </w:r>
      <w:r>
        <w:t xml:space="preserve">that pin numerical behavior of the scientific models —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test_amm_model.py</w:t>
      </w:r>
      <w:r>
        <w:t xml:space="preserve"> </w:t>
      </w:r>
      <w:r>
        <w:t xml:space="preserve">verifies model outputs against worked examples from the</w:t>
      </w:r>
      <w:r>
        <w:t xml:space="preserve"> </w:t>
      </w:r>
      <w:r>
        <w:t xml:space="preserve">source paper, and</w:t>
      </w:r>
      <w:r>
        <w:t xml:space="preserve"> </w:t>
      </w:r>
      <w:r>
        <w:rPr>
          <w:rStyle w:val="VerbatimChar"/>
        </w:rPr>
        <w:t xml:space="preserve">test_rdii_model.py</w:t>
      </w:r>
      <w:r>
        <w:t xml:space="preserve"> </w:t>
      </w:r>
      <w:r>
        <w:t xml:space="preserve">(93 tests) and</w:t>
      </w:r>
      <w:r>
        <w:t xml:space="preserve"> </w:t>
      </w:r>
      <w:r>
        <w:rPr>
          <w:rStyle w:val="VerbatimChar"/>
        </w:rPr>
        <w:t xml:space="preserve">test_calibration_comprehensive.py</w:t>
      </w:r>
      <w:r>
        <w:t xml:space="preserve"> </w:t>
      </w:r>
      <w:r>
        <w:t xml:space="preserve">(105 tests) lock down the calibration math.</w:t>
      </w:r>
      <w:r>
        <w:t xml:space="preserve"> </w:t>
      </w:r>
      <w:r>
        <w:t xml:space="preserve">Because these regression tests assert against known-good values, any unintended</w:t>
      </w:r>
      <w:r>
        <w:t xml:space="preserve"> </w:t>
      </w:r>
      <w:r>
        <w:t xml:space="preserve">change to a formulation is caught automatically.</w:t>
      </w:r>
    </w:p>
    <w:p>
      <w:pPr>
        <w:pStyle w:val="CaptionedFigure"/>
      </w:pPr>
      <w:r>
        <w:drawing>
          <wp:inline>
            <wp:extent cx="5334000" cy="5030775"/>
            <wp:effectExtent b="0" l="0" r="0" t="0"/>
            <wp:docPr descr="Figure 5" title="" id="44" name="Picture"/>
            <a:graphic>
              <a:graphicData uri="http://schemas.openxmlformats.org/drawingml/2006/picture">
                <pic:pic>
                  <pic:nvPicPr>
                    <pic:cNvPr descr="_assets/qaqc_figure_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bookmarkEnd w:id="46"/>
    <w:bookmarkStart w:id="50" w:name="workflows"/>
    <w:p>
      <w:pPr>
        <w:pStyle w:val="Heading3"/>
      </w:pPr>
      <w:r>
        <w:t xml:space="preserve">Workflows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tests.yml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push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dev</w:t>
            </w:r>
            <w:r>
              <w:t xml:space="preserve">, PR →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Run the full matrix test suite; upload coverage.</w:t>
            </w:r>
          </w:p>
        </w:tc>
      </w:tr>
      <w:tr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docs.yml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push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dev</w:t>
            </w:r>
            <w:r>
              <w:t xml:space="preserve">, PR →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Build Sphinx docs with warnings-as-errors; deploy.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publish.yml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Release published</w:t>
            </w:r>
          </w:p>
        </w:tc>
        <w:tc>
          <w:tcPr/>
          <w:p>
            <w:pPr>
              <w:pStyle w:val="Compact"/>
            </w:pPr>
            <w:r>
              <w:t xml:space="preserve">Build sdist+wheel and publish to PyPI (OIDC).</w:t>
            </w:r>
          </w:p>
        </w:tc>
      </w:tr>
    </w:tbl>
    <w:p>
      <w:pPr>
        <w:pStyle w:val="BodyText"/>
      </w:pPr>
      <w:r>
        <w:t xml:space="preserve">The publish workflow uses PyPI</w:t>
      </w:r>
      <w:r>
        <w:t xml:space="preserve"> </w:t>
      </w:r>
      <w:r>
        <w:rPr>
          <w:b/>
          <w:bCs/>
        </w:rPr>
        <w:t xml:space="preserve">trusted publishing</w:t>
      </w:r>
      <w:r>
        <w:t xml:space="preserve"> </w:t>
      </w:r>
      <w:r>
        <w:t xml:space="preserve">(OpenID Connect,</w:t>
      </w:r>
      <w:r>
        <w:t xml:space="preserve"> </w:t>
      </w:r>
      <w:r>
        <w:rPr>
          <w:rStyle w:val="VerbatimChar"/>
        </w:rPr>
        <w:t xml:space="preserve">id-token: write</w:t>
      </w:r>
      <w:r>
        <w:t xml:space="preserve">),</w:t>
      </w:r>
      <w:r>
        <w:t xml:space="preserve"> </w:t>
      </w:r>
      <w:r>
        <w:t xml:space="preserve">so no long-lived API tokens are stored — releases are cryptographically attributed to</w:t>
      </w:r>
      <w:r>
        <w:t xml:space="preserve"> </w:t>
      </w:r>
      <w:r>
        <w:t xml:space="preserve">the workflow run, reducing supply-chain risk.</w:t>
      </w:r>
    </w:p>
    <w:bookmarkEnd w:id="50"/>
    <w:bookmarkStart w:id="51" w:name="coverage-policy"/>
    <w:p>
      <w:pPr>
        <w:pStyle w:val="Heading3"/>
      </w:pPr>
      <w:r>
        <w:t xml:space="preserve">Coverage policy</w:t>
      </w:r>
    </w:p>
    <w:p>
      <w:pPr>
        <w:pStyle w:val="FirstParagraph"/>
      </w:pPr>
      <w:r>
        <w:t xml:space="preserve">Coverage is configured in</w:t>
      </w:r>
      <w:r>
        <w:t xml:space="preserve"> </w:t>
      </w:r>
      <w:hyperlink r:id="rId18">
        <w:r>
          <w:rPr>
            <w:rStyle w:val="Hyperlink"/>
          </w:rPr>
          <w:t xml:space="preserve">pyproject.toml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--cov=sparsehydro --cov-report=term-missing --cov-report=xml</w:t>
      </w:r>
      <w:r>
        <w:t xml:space="preserve">) and uploaded to</w:t>
      </w:r>
      <w:r>
        <w:t xml:space="preserve"> </w:t>
      </w:r>
      <w:r>
        <w:t xml:space="preserve">Codecov from the canonical job (Ubuntu / Python 3.12). Coverage is tracked over time</w:t>
      </w:r>
      <w:r>
        <w:t xml:space="preserve"> </w:t>
      </w:r>
      <w:r>
        <w:t xml:space="preserve">and reviewers are expected to ensure new code ships with corresponding tests so that</w:t>
      </w:r>
      <w:r>
        <w:t xml:space="preserve"> </w:t>
      </w:r>
      <w:r>
        <w:t xml:space="preserve">overall coverage trends upward and core scientific modules stay well covered.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2ad39dbd4ab438f8816bbdc752e12b4618313af"/>
    <w:p>
      <w:pPr>
        <w:pStyle w:val="Heading2"/>
      </w:pPr>
      <w:r>
        <w:t xml:space="preserve">5. Pull-request review &amp; merge gate</w:t>
      </w:r>
    </w:p>
    <w:p>
      <w:pPr>
        <w:pStyle w:val="FirstParagraph"/>
      </w:pPr>
      <w:r>
        <w:t xml:space="preserve">Code review by a</w:t>
      </w:r>
      <w:r>
        <w:t xml:space="preserve"> </w:t>
      </w:r>
      <w:r>
        <w:rPr>
          <w:b/>
          <w:bCs/>
        </w:rPr>
        <w:t xml:space="preserve">senior engineer</w:t>
      </w:r>
      <w:r>
        <w:t xml:space="preserve"> </w:t>
      </w:r>
      <w:r>
        <w:t xml:space="preserve">is a required, non-bypassable gate. Branch</w:t>
      </w:r>
      <w:r>
        <w:t xml:space="preserve"> </w:t>
      </w:r>
      <w:r>
        <w:t xml:space="preserve">protection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requires:</w:t>
      </w:r>
    </w:p>
    <w:p>
      <w:pPr>
        <w:pStyle w:val="Compact"/>
        <w:numPr>
          <w:ilvl w:val="0"/>
          <w:numId w:val="1004"/>
        </w:numPr>
      </w:pPr>
      <w:r>
        <w:t xml:space="preserve">✅ All CI status checks passing (test matrix + docs build).</w:t>
      </w:r>
    </w:p>
    <w:p>
      <w:pPr>
        <w:pStyle w:val="Compact"/>
        <w:numPr>
          <w:ilvl w:val="0"/>
          <w:numId w:val="1004"/>
        </w:numPr>
      </w:pPr>
      <w:r>
        <w:t xml:space="preserve">✅ At least one approving review from a designated senior engineer</w:t>
      </w:r>
      <w:r>
        <w:t xml:space="preserve"> </w:t>
      </w:r>
      <w:r>
        <w:t xml:space="preserve">(enforced via a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reviewer assignment).</w:t>
      </w:r>
    </w:p>
    <w:p>
      <w:pPr>
        <w:pStyle w:val="Compact"/>
        <w:numPr>
          <w:ilvl w:val="0"/>
          <w:numId w:val="1004"/>
        </w:numPr>
      </w:pPr>
      <w:r>
        <w:t xml:space="preserve">✅ The branch up to date with its base before merge.</w:t>
      </w:r>
    </w:p>
    <w:p>
      <w:pPr>
        <w:pStyle w:val="Compact"/>
        <w:numPr>
          <w:ilvl w:val="0"/>
          <w:numId w:val="1004"/>
        </w:numPr>
      </w:pPr>
      <w:r>
        <w:t xml:space="preserve">✅ Conversations resolved.</w:t>
      </w:r>
    </w:p>
    <w:p>
      <w:pPr>
        <w:pStyle w:val="Compact"/>
        <w:numPr>
          <w:ilvl w:val="0"/>
          <w:numId w:val="1004"/>
        </w:numPr>
      </w:pPr>
      <w:r>
        <w:t xml:space="preserve">🚫 No direct pushes to protected branches — changes land only via PR.</w:t>
      </w:r>
    </w:p>
    <w:p>
      <w:pPr>
        <w:pStyle w:val="CaptionedFigure"/>
      </w:pPr>
      <w:r>
        <w:drawing>
          <wp:inline>
            <wp:extent cx="5334000" cy="4721273"/>
            <wp:effectExtent b="0" l="0" r="0" t="0"/>
            <wp:docPr descr="Figure 6" title="" id="54" name="Picture"/>
            <a:graphic>
              <a:graphicData uri="http://schemas.openxmlformats.org/drawingml/2006/picture">
                <pic:pic>
                  <pic:nvPicPr>
                    <pic:cNvPr descr="_assets/qaqc_figure_0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bookmarkStart w:id="56" w:name="pull-request-checklist-template"/>
    <w:p>
      <w:pPr>
        <w:pStyle w:val="Heading3"/>
      </w:pPr>
      <w:r>
        <w:t xml:space="preserve">Pull-request checklist (template)</w:t>
      </w:r>
    </w:p>
    <w:p>
      <w:pPr>
        <w:pStyle w:val="FirstParagraph"/>
      </w:pPr>
      <w:r>
        <w:t xml:space="preserve">Every PR must complete the following checklist before it is eligible for merge.</w:t>
      </w:r>
      <w:r>
        <w:t xml:space="preserve"> </w:t>
      </w:r>
      <w:r>
        <w:t xml:space="preserve">This is maintained as a repository PR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.github/PULL_REQUEST_TEMPLATE.md</w:t>
      </w:r>
      <w:r>
        <w:t xml:space="preserve">) so it is pre-populated on every new PR:</w:t>
      </w:r>
    </w:p>
    <w:p>
      <w:pPr>
        <w:pStyle w:val="SourceCode"/>
      </w:pPr>
      <w:r>
        <w:rPr>
          <w:rStyle w:val="FunctionTok"/>
        </w:rPr>
        <w:t xml:space="preserve">## Summary</w:t>
      </w:r>
      <w:r>
        <w:br/>
      </w:r>
      <w:r>
        <w:rPr>
          <w:rStyle w:val="CommentTok"/>
        </w:rPr>
        <w:t xml:space="preserve">&lt;!-- What does this change do and why? --&gt;</w:t>
      </w:r>
      <w:r>
        <w:br/>
      </w:r>
      <w:r>
        <w:br/>
      </w:r>
      <w:r>
        <w:rPr>
          <w:rStyle w:val="FunctionTok"/>
        </w:rPr>
        <w:t xml:space="preserve">## Related issues</w:t>
      </w:r>
      <w:r>
        <w:br/>
      </w:r>
      <w:r>
        <w:rPr>
          <w:rStyle w:val="CommentTok"/>
        </w:rPr>
        <w:t xml:space="preserve">&lt;!-- Closes #… --&gt;</w:t>
      </w:r>
      <w:r>
        <w:br/>
      </w:r>
      <w:r>
        <w:br/>
      </w:r>
      <w:r>
        <w:rPr>
          <w:rStyle w:val="FunctionTok"/>
        </w:rPr>
        <w:t xml:space="preserve">## Type of change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Bug fix (non-breaking)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New feature (non-breaking)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Breaking change (MAJOR version bump)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Documentation only</w:t>
      </w:r>
      <w:r>
        <w:br/>
      </w:r>
      <w:r>
        <w:br/>
      </w:r>
      <w:r>
        <w:rPr>
          <w:rStyle w:val="FunctionTok"/>
        </w:rPr>
        <w:t xml:space="preserve">## QA/QC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Branch follows naming convention (</w:t>
      </w:r>
      <w:r>
        <w:rPr>
          <w:rStyle w:val="InformationTok"/>
        </w:rPr>
        <w:t xml:space="preserve">`feature/*`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`bugfix/*`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`hotfix/*`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Targets the correct base branch (</w:t>
      </w:r>
      <w:r>
        <w:rPr>
          <w:rStyle w:val="InformationTok"/>
        </w:rPr>
        <w:t xml:space="preserve">`develop`</w:t>
      </w:r>
      <w:r>
        <w:rPr>
          <w:rStyle w:val="NormalTok"/>
        </w:rPr>
        <w:t xml:space="preserve"> for features/bugfixes).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New/changed behavior is covered by unit and/or regression tests.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Full test suite passes locally (</w:t>
      </w:r>
      <w:r>
        <w:rPr>
          <w:rStyle w:val="InformationTok"/>
        </w:rPr>
        <w:t xml:space="preserve">`pytest`</w:t>
      </w:r>
      <w:r>
        <w:rPr>
          <w:rStyle w:val="NormalTok"/>
        </w:rPr>
        <w:t xml:space="preserve">) and in CI (all matrix legs).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Coverage does not regress; new code is exercised by tests.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Public API changes are reflected in docstrings and </w:t>
      </w:r>
      <w:r>
        <w:rPr>
          <w:rStyle w:val="InformationTok"/>
        </w:rPr>
        <w:t xml:space="preserve">`docs/`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Sphinx docs build cleanly (</w:t>
      </w:r>
      <w:r>
        <w:rPr>
          <w:rStyle w:val="InformationTok"/>
        </w:rPr>
        <w:t xml:space="preserve">`sphinx-build -W`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Formulation changes cite the relevant literature.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Version bumped appropriately (SemVer) and </w:t>
      </w:r>
      <w:r>
        <w:rPr>
          <w:rStyle w:val="InformationTok"/>
        </w:rPr>
        <w:t xml:space="preserve">`CHANGELOG.md`</w:t>
      </w:r>
      <w:r>
        <w:rPr>
          <w:rStyle w:val="NormalTok"/>
        </w:rPr>
        <w:t xml:space="preserve"> updated.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secrets, credentials, or large data files committed.</w:t>
      </w:r>
      <w:r>
        <w:br/>
      </w:r>
      <w:r>
        <w:br/>
      </w:r>
      <w:r>
        <w:rPr>
          <w:rStyle w:val="FunctionTok"/>
        </w:rPr>
        <w:t xml:space="preserve">## Reviewer (senior engineer)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Math/implementation reviewed against documented formulation.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 design reviewed for adequacy and correctness.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88fa79524cc219caef45751a833d3d5b81c26c5"/>
    <w:p>
      <w:pPr>
        <w:pStyle w:val="Heading2"/>
      </w:pPr>
      <w:r>
        <w:t xml:space="preserve">6. Independent validation across projects</w:t>
      </w:r>
    </w:p>
    <w:p>
      <w:pPr>
        <w:pStyle w:val="FirstParagraph"/>
      </w:pPr>
      <w:r>
        <w:t xml:space="preserve">Beyond automated tests, the package and its formulations are</w:t>
      </w:r>
      <w:r>
        <w:t xml:space="preserve"> </w:t>
      </w:r>
      <w:r>
        <w:rPr>
          <w:b/>
          <w:bCs/>
        </w:rPr>
        <w:t xml:space="preserve">independently</w:t>
      </w:r>
      <w:r>
        <w:rPr>
          <w:b/>
          <w:bCs/>
        </w:rPr>
        <w:t xml:space="preserve"> </w:t>
      </w:r>
      <w:r>
        <w:rPr>
          <w:b/>
          <w:bCs/>
        </w:rPr>
        <w:t xml:space="preserve">exercised and validated on real engineering projects</w:t>
      </w:r>
      <w:r>
        <w:t xml:space="preserve">, providing a second,</w:t>
      </w:r>
      <w:r>
        <w:t xml:space="preserve"> </w:t>
      </w:r>
      <w:r>
        <w:t xml:space="preserve">domain-level verification layer outside the unit-test harness: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SERWS Big Sandy Model</w:t>
      </w:r>
      <w:r>
        <w:t xml:space="preserve"> </w:t>
      </w:r>
      <w:r>
        <w:t xml:space="preserve">— calibration experiments and Pareto analyses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calibration.ipynb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chilacothe_calibration.ipynb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sheridan.ipynb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Southeast Ohio Regional Water Study</w:t>
      </w:r>
      <w:r>
        <w:t xml:space="preserve"> </w:t>
      </w:r>
      <w:r>
        <w:t xml:space="preserve">— regression and calibration notebooks</w:t>
      </w:r>
      <w:r>
        <w:t xml:space="preserve"> </w:t>
      </w:r>
      <w:r>
        <w:t xml:space="preserve">(Zanesville, Chillicothe, Rio Grande) that apply the same models and solvers to</w:t>
      </w:r>
      <w:r>
        <w:t xml:space="preserve"> </w:t>
      </w:r>
      <w:r>
        <w:t xml:space="preserve">independent datasets.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UnitHydrograph</w:t>
      </w:r>
      <w:r>
        <w:t xml:space="preserve"> </w:t>
      </w:r>
      <w:r>
        <w:t xml:space="preserve">— companion package exercising the unit-hydrograph formulations</w:t>
      </w:r>
      <w:r>
        <w:t xml:space="preserve"> </w:t>
      </w:r>
      <w:r>
        <w:t xml:space="preserve">against multiple monitored sewershed datasets.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Example notebooks</w:t>
      </w:r>
      <w:r>
        <w:t xml:space="preserve"> </w:t>
      </w:r>
      <w:r>
        <w:t xml:space="preserve">shipped with the package</w:t>
      </w:r>
      <w:r>
        <w:t xml:space="preserve"> </w:t>
      </w:r>
      <w:r>
        <w:t xml:space="preserve">(</w:t>
      </w:r>
      <w:hyperlink r:id="rId58">
        <w:r>
          <w:rPr>
            <w:rStyle w:val="VerbatimChar"/>
          </w:rPr>
          <w:t xml:space="preserve">sparsehydro/notebooks/</w:t>
        </w:r>
      </w:hyperlink>
      <w:r>
        <w:t xml:space="preserve">) demonstrate and sanity-check</w:t>
      </w:r>
      <w:r>
        <w:t xml:space="preserve"> </w:t>
      </w:r>
      <w:r>
        <w:t xml:space="preserve">end-to-end workflows on representative data.</w:t>
      </w:r>
    </w:p>
    <w:p>
      <w:pPr>
        <w:pStyle w:val="FirstParagraph"/>
      </w:pPr>
      <w:r>
        <w:t xml:space="preserve">When a formulation is found to be deficient on a real project, the finding is</w:t>
      </w:r>
      <w:r>
        <w:t xml:space="preserve"> </w:t>
      </w:r>
      <w:r>
        <w:t xml:space="preserve">captured as an issue, fixed on a</w:t>
      </w:r>
      <w:r>
        <w:t xml:space="preserve"> </w:t>
      </w:r>
      <w:r>
        <w:rPr>
          <w:rStyle w:val="VerbatimChar"/>
        </w:rPr>
        <w:t xml:space="preserve">bugfix/*</w:t>
      </w:r>
      <w:r>
        <w:t xml:space="preserve"> </w:t>
      </w:r>
      <w:r>
        <w:t xml:space="preserve">branch with an accompanying regression</w:t>
      </w:r>
      <w:r>
        <w:t xml:space="preserve"> </w:t>
      </w:r>
      <w:r>
        <w:t xml:space="preserve">test, and flows back through the same review and release pipeline — closing the</w:t>
      </w:r>
      <w:r>
        <w:t xml:space="preserve"> </w:t>
      </w:r>
      <w:r>
        <w:t xml:space="preserve">loop between field validation and the automated test suite.</w:t>
      </w:r>
    </w:p>
    <w:p>
      <w:r>
        <w:pict>
          <v:rect style="width:0;height:1.5pt" o:hralign="center" o:hrstd="t" o:hr="t"/>
        </w:pict>
      </w:r>
    </w:p>
    <w:bookmarkEnd w:id="59"/>
    <w:bookmarkStart w:id="60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Branching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develop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feature/*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bugfix/*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hotfix/*</w:t>
            </w:r>
            <w:r>
              <w:t xml:space="preserve"> </w:t>
            </w:r>
            <w:r>
              <w:t xml:space="preserve">topics.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SemVer 2.0 with</w:t>
            </w:r>
            <w:r>
              <w:t xml:space="preserve"> </w:t>
            </w:r>
            <w:r>
              <w:rPr>
                <w:rStyle w:val="VerbatimChar"/>
              </w:rPr>
              <w:t xml:space="preserve">dev → alpha → beta → rc → release</w:t>
            </w:r>
            <w:r>
              <w:t xml:space="preserve"> </w:t>
            </w:r>
            <w:r>
              <w:t xml:space="preserve">(PEP 440).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Sphinx (warnings-as-errors) + diagrams + literature citations.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testing</w:t>
            </w:r>
          </w:p>
        </w:tc>
        <w:tc>
          <w:tcPr/>
          <w:p>
            <w:pPr>
              <w:pStyle w:val="Compact"/>
            </w:pPr>
            <w:r>
              <w:t xml:space="preserve">646 tests, 3 OS × 3 Python matrix, coverage to Codecov, on every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gate</w:t>
            </w:r>
          </w:p>
        </w:tc>
        <w:tc>
          <w:tcPr/>
          <w:p>
            <w:pPr>
              <w:pStyle w:val="Compact"/>
            </w:pPr>
            <w:r>
              <w:t xml:space="preserve">Mandatory senior-engineer approval + standardized PR checklist.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validation</w:t>
            </w:r>
          </w:p>
        </w:tc>
        <w:tc>
          <w:tcPr/>
          <w:p>
            <w:pPr>
              <w:pStyle w:val="Compact"/>
            </w:pPr>
            <w:r>
              <w:t xml:space="preserve">Real-project notebooks and companion packages cross-check formulations.</w:t>
            </w:r>
          </w:p>
        </w:tc>
      </w:tr>
    </w:tbl>
    <w:p>
      <w:pPr>
        <w:pStyle w:val="BodyText"/>
      </w:pPr>
      <w:r>
        <w:t xml:space="preserve">Together these controls ensure that every change to sparsehydro is tested,</w:t>
      </w:r>
      <w:r>
        <w:t xml:space="preserve"> </w:t>
      </w:r>
      <w:r>
        <w:t xml:space="preserve">reviewed, documented, versioned, and independently validated before it reaches</w:t>
      </w:r>
      <w:r>
        <w:t xml:space="preserve"> </w:t>
      </w:r>
      <w:r>
        <w:t xml:space="preserve">users.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53" Target="media/rId53.png" /><Relationship Type="http://schemas.openxmlformats.org/officeDocument/2006/relationships/hyperlink" Id="rId48" Target="../.github/workflows/docs.yml" TargetMode="External" /><Relationship Type="http://schemas.openxmlformats.org/officeDocument/2006/relationships/hyperlink" Id="rId49" Target="../.github/workflows/publish.yml" TargetMode="External" /><Relationship Type="http://schemas.openxmlformats.org/officeDocument/2006/relationships/hyperlink" Id="rId47" Target="../.github/workflows/tests.yml" TargetMode="External" /><Relationship Type="http://schemas.openxmlformats.org/officeDocument/2006/relationships/hyperlink" Id="rId23" Target="../CHANGELOG.md" TargetMode="External" /><Relationship Type="http://schemas.openxmlformats.org/officeDocument/2006/relationships/hyperlink" Id="rId28" Target="../DESIGN.md" TargetMode="External" /><Relationship Type="http://schemas.openxmlformats.org/officeDocument/2006/relationships/hyperlink" Id="rId18" Target="../pyproject.toml" TargetMode="External" /><Relationship Type="http://schemas.openxmlformats.org/officeDocument/2006/relationships/hyperlink" Id="rId22" Target="../sparsehydro/__init__.py" TargetMode="External" /><Relationship Type="http://schemas.openxmlformats.org/officeDocument/2006/relationships/hyperlink" Id="rId58" Target="../sparsehydro/notebooks/" TargetMode="External" /><Relationship Type="http://schemas.openxmlformats.org/officeDocument/2006/relationships/hyperlink" Id="rId33" Target="./api.rst" TargetMode="External" /><Relationship Type="http://schemas.openxmlformats.org/officeDocument/2006/relationships/hyperlink" Id="rId30" Target="./combined_model.md" TargetMode="External" /><Relationship Type="http://schemas.openxmlformats.org/officeDocument/2006/relationships/hyperlink" Id="rId32" Target="./getting_started.rst" TargetMode="External" /><Relationship Type="http://schemas.openxmlformats.org/officeDocument/2006/relationships/hyperlink" Id="rId29" Target="./rdii_design.md" TargetMode="External" /><Relationship Type="http://schemas.openxmlformats.org/officeDocument/2006/relationships/hyperlink" Id="rId31" Target="./unithydrograph_strategy.md" TargetMode="External" /><Relationship Type="http://schemas.openxmlformats.org/officeDocument/2006/relationships/hyperlink" Id="rId40" Target="https://doi.org/10.14796/JWMM.C525" TargetMode="External" /><Relationship Type="http://schemas.openxmlformats.org/officeDocument/2006/relationships/hyperlink" Id="rId24" Target="https://keepachangelog.com/" TargetMode="External" /><Relationship Type="http://schemas.openxmlformats.org/officeDocument/2006/relationships/hyperlink" Id="rId25" Target="https://peps.python.org/pep-0440/" TargetMode="External" /><Relationship Type="http://schemas.openxmlformats.org/officeDocument/2006/relationships/hyperlink" Id="rId17" Target="https://semver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.github/workflows/docs.yml" TargetMode="External" /><Relationship Type="http://schemas.openxmlformats.org/officeDocument/2006/relationships/hyperlink" Id="rId49" Target="../.github/workflows/publish.yml" TargetMode="External" /><Relationship Type="http://schemas.openxmlformats.org/officeDocument/2006/relationships/hyperlink" Id="rId47" Target="../.github/workflows/tests.yml" TargetMode="External" /><Relationship Type="http://schemas.openxmlformats.org/officeDocument/2006/relationships/hyperlink" Id="rId23" Target="../CHANGELOG.md" TargetMode="External" /><Relationship Type="http://schemas.openxmlformats.org/officeDocument/2006/relationships/hyperlink" Id="rId28" Target="../DESIGN.md" TargetMode="External" /><Relationship Type="http://schemas.openxmlformats.org/officeDocument/2006/relationships/hyperlink" Id="rId18" Target="../pyproject.toml" TargetMode="External" /><Relationship Type="http://schemas.openxmlformats.org/officeDocument/2006/relationships/hyperlink" Id="rId22" Target="../sparsehydro/__init__.py" TargetMode="External" /><Relationship Type="http://schemas.openxmlformats.org/officeDocument/2006/relationships/hyperlink" Id="rId58" Target="../sparsehydro/notebooks/" TargetMode="External" /><Relationship Type="http://schemas.openxmlformats.org/officeDocument/2006/relationships/hyperlink" Id="rId33" Target="./api.rst" TargetMode="External" /><Relationship Type="http://schemas.openxmlformats.org/officeDocument/2006/relationships/hyperlink" Id="rId30" Target="./combined_model.md" TargetMode="External" /><Relationship Type="http://schemas.openxmlformats.org/officeDocument/2006/relationships/hyperlink" Id="rId32" Target="./getting_started.rst" TargetMode="External" /><Relationship Type="http://schemas.openxmlformats.org/officeDocument/2006/relationships/hyperlink" Id="rId29" Target="./rdii_design.md" TargetMode="External" /><Relationship Type="http://schemas.openxmlformats.org/officeDocument/2006/relationships/hyperlink" Id="rId31" Target="./unithydrograph_strategy.md" TargetMode="External" /><Relationship Type="http://schemas.openxmlformats.org/officeDocument/2006/relationships/hyperlink" Id="rId40" Target="https://doi.org/10.14796/JWMM.C525" TargetMode="External" /><Relationship Type="http://schemas.openxmlformats.org/officeDocument/2006/relationships/hyperlink" Id="rId24" Target="https://keepachangelog.com/" TargetMode="External" /><Relationship Type="http://schemas.openxmlformats.org/officeDocument/2006/relationships/hyperlink" Id="rId25" Target="https://peps.python.org/pep-0440/" TargetMode="External" /><Relationship Type="http://schemas.openxmlformats.org/officeDocument/2006/relationships/hyperlink" Id="rId17" Target="https://semver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2026-06-30T12:23:31Z</dcterms:created>
  <dcterms:modified xsi:type="dcterms:W3CDTF">2026-06-30T12:23:31Z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