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r-threshold"/>
      <w:r>
        <w:t xml:space="preserve">Univariate CoR: Nonparametric Threshold Modeling</w:t>
      </w:r>
      <w:bookmarkEnd w:id="20"/>
    </w:p>
    <w:p>
      <w:pPr>
        <w:pStyle w:val="Heading3"/>
      </w:pPr>
      <w:bookmarkStart w:id="21" w:name="spike-protein-antibody"/>
      <w:r>
        <w:t xml:space="preserve">Spike protein antibody</w:t>
      </w:r>
      <w:bookmarkEnd w:id="21"/>
    </w:p>
    <w:p>
      <w:r>
        <w:br w:type="page"/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2021-03-01T23:56:29Z</dcterms:created>
  <dcterms:modified xsi:type="dcterms:W3CDTF">2021-03-01T23:56:29Z</dcterms:modified>
</cp:coreProperties>
</file>