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63B5968D" w:rsidR="00EE3DAB" w:rsidRPr="00D554DD" w:rsidRDefault="007F7B7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</w:t>
            </w:r>
            <w:r w:rsidR="00B02EA0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7DCDB456" w:rsidR="00EE3DAB" w:rsidRPr="00D554DD" w:rsidRDefault="00B02EA0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7F7B73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840CF8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Style w:val="Tablaconcuadrculaclara"/>
        <w:tblpPr w:leftFromText="141" w:rightFromText="141" w:vertAnchor="text" w:horzAnchor="margin" w:tblpY="356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B02EA0" w:rsidRPr="005D2D38" w14:paraId="5F2B2857" w14:textId="77777777" w:rsidTr="00B02EA0">
        <w:trPr>
          <w:trHeight w:val="756"/>
        </w:trPr>
        <w:tc>
          <w:tcPr>
            <w:tcW w:w="2122" w:type="dxa"/>
            <w:hideMark/>
          </w:tcPr>
          <w:p w14:paraId="51B937B9" w14:textId="77777777" w:rsidR="00B02EA0" w:rsidRPr="005D2D38" w:rsidRDefault="00B02EA0" w:rsidP="00B02EA0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499B965D" w14:textId="77777777" w:rsidR="00B02EA0" w:rsidRPr="005D2D38" w:rsidRDefault="00B02EA0" w:rsidP="00B02EA0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70E445AC" w14:textId="77777777" w:rsidR="00B02EA0" w:rsidRPr="005D2D38" w:rsidRDefault="00B02EA0" w:rsidP="00B02EA0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0051DA2A" w14:textId="77777777" w:rsidR="00B02EA0" w:rsidRPr="005D2D38" w:rsidRDefault="00B02EA0" w:rsidP="00B02EA0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B02EA0" w:rsidRPr="005D2D38" w14:paraId="58690489" w14:textId="77777777" w:rsidTr="00B02EA0">
        <w:trPr>
          <w:trHeight w:val="2062"/>
        </w:trPr>
        <w:tc>
          <w:tcPr>
            <w:tcW w:w="2122" w:type="dxa"/>
            <w:hideMark/>
          </w:tcPr>
          <w:p w14:paraId="15B77C75" w14:textId="77777777" w:rsidR="00B02EA0" w:rsidRPr="005D2D38" w:rsidRDefault="00B02EA0" w:rsidP="00B02EA0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Integración del módulo de Deflación de Valores y Poder Adquisitivo (</w:t>
            </w:r>
            <w:proofErr w:type="spellStart"/>
            <w:r w:rsidRPr="00B02EA0">
              <w:rPr>
                <w:rFonts w:ascii="Ebrima" w:hAnsi="Ebrima"/>
                <w:color w:val="535151"/>
                <w:sz w:val="20"/>
              </w:rPr>
              <w:t>calcularDeflacionSalarial</w:t>
            </w:r>
            <w:proofErr w:type="spellEnd"/>
            <w:r w:rsidRPr="00B02EA0">
              <w:rPr>
                <w:rFonts w:ascii="Ebrima" w:hAnsi="Ebrima"/>
                <w:color w:val="535151"/>
                <w:sz w:val="20"/>
              </w:rPr>
              <w:t>).</w:t>
            </w:r>
          </w:p>
        </w:tc>
        <w:tc>
          <w:tcPr>
            <w:tcW w:w="2324" w:type="dxa"/>
            <w:hideMark/>
          </w:tcPr>
          <w:p w14:paraId="3B2E571E" w14:textId="77777777" w:rsidR="00B02EA0" w:rsidRPr="005D2D38" w:rsidRDefault="00B02EA0" w:rsidP="00B02EA0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Los operadores matemáticos generaban errores fatales (divisiones por cero) si el usuario cargaba un archivo Excel con años de IPC nulos o incompletos.</w:t>
            </w:r>
          </w:p>
        </w:tc>
        <w:tc>
          <w:tcPr>
            <w:tcW w:w="2779" w:type="dxa"/>
            <w:hideMark/>
          </w:tcPr>
          <w:p w14:paraId="7BD0DFBA" w14:textId="77777777" w:rsidR="00B02EA0" w:rsidRPr="005D2D38" w:rsidRDefault="00B02EA0" w:rsidP="00B02EA0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Se incorporó un sistema de validación condicional que previene divisiones inválidas y formatea las tasas de inflación temporal correctamente.</w:t>
            </w:r>
          </w:p>
        </w:tc>
        <w:tc>
          <w:tcPr>
            <w:tcW w:w="2236" w:type="dxa"/>
            <w:hideMark/>
          </w:tcPr>
          <w:p w14:paraId="1723EDDD" w14:textId="43AAF460" w:rsidR="00B02EA0" w:rsidRPr="005D2D38" w:rsidRDefault="00B02EA0" w:rsidP="00B02EA0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>
              <w:rPr>
                <w:rFonts w:ascii="Ebrima" w:hAnsi="Ebrima"/>
                <w:color w:val="535151"/>
                <w:sz w:val="20"/>
              </w:rPr>
              <w:t>E</w:t>
            </w:r>
            <w:r w:rsidRPr="00B02EA0">
              <w:rPr>
                <w:rFonts w:ascii="Ebrima" w:hAnsi="Ebrima"/>
                <w:color w:val="535151"/>
                <w:sz w:val="20"/>
              </w:rPr>
              <w:t>l usuario obtiene datos exactos sobre la pérdida de valor monetario frente a la inflación empírica.</w:t>
            </w:r>
          </w:p>
        </w:tc>
      </w:tr>
      <w:tr w:rsidR="00B02EA0" w:rsidRPr="005D2D38" w14:paraId="1FD8675A" w14:textId="77777777" w:rsidTr="00B02EA0">
        <w:trPr>
          <w:trHeight w:val="2062"/>
        </w:trPr>
        <w:tc>
          <w:tcPr>
            <w:tcW w:w="2122" w:type="dxa"/>
          </w:tcPr>
          <w:p w14:paraId="4FDFE006" w14:textId="66D64338" w:rsidR="00B02EA0" w:rsidRPr="00B02EA0" w:rsidRDefault="00B02EA0" w:rsidP="00B02EA0">
            <w:pPr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Reunión de coordinación técnica con la Ing. Emilia Gamarra (Sistemas Postgrado ENAP) y el director de Carrera</w:t>
            </w:r>
            <w:r>
              <w:rPr>
                <w:rFonts w:ascii="Ebrima" w:hAnsi="Ebrima"/>
                <w:color w:val="535151"/>
                <w:sz w:val="20"/>
              </w:rPr>
              <w:t>.</w:t>
            </w:r>
          </w:p>
        </w:tc>
        <w:tc>
          <w:tcPr>
            <w:tcW w:w="2324" w:type="dxa"/>
          </w:tcPr>
          <w:p w14:paraId="5AA2215E" w14:textId="66D6E0C3" w:rsidR="00B02EA0" w:rsidRPr="00B02EA0" w:rsidRDefault="00B02EA0" w:rsidP="00B02EA0">
            <w:pPr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 xml:space="preserve">Se requería evaluar la viabilidad de escalar la herramienta y analizar mejores prácticas UX observando el sistema externo </w:t>
            </w:r>
            <w:proofErr w:type="spellStart"/>
            <w:r w:rsidRPr="00B02EA0">
              <w:rPr>
                <w:rFonts w:ascii="Ebrima" w:hAnsi="Ebrima"/>
                <w:color w:val="535151"/>
                <w:sz w:val="20"/>
              </w:rPr>
              <w:t>OrbisMacro</w:t>
            </w:r>
            <w:proofErr w:type="spellEnd"/>
            <w:r w:rsidRPr="00B02EA0">
              <w:rPr>
                <w:rFonts w:ascii="Ebrima" w:hAnsi="Ebrima"/>
                <w:color w:val="535151"/>
                <w:sz w:val="20"/>
              </w:rPr>
              <w:t>.</w:t>
            </w:r>
          </w:p>
        </w:tc>
        <w:tc>
          <w:tcPr>
            <w:tcW w:w="2779" w:type="dxa"/>
          </w:tcPr>
          <w:p w14:paraId="18E6EF2A" w14:textId="0BFAE46B" w:rsidR="00B02EA0" w:rsidRPr="00B02EA0" w:rsidRDefault="00B02EA0" w:rsidP="00B02EA0">
            <w:pPr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Se realizó un</w:t>
            </w:r>
            <w:r>
              <w:rPr>
                <w:rFonts w:ascii="Ebrima" w:hAnsi="Ebrima"/>
                <w:color w:val="535151"/>
                <w:sz w:val="20"/>
              </w:rPr>
              <w:t xml:space="preserve"> </w:t>
            </w:r>
            <w:r w:rsidRPr="00B02EA0">
              <w:rPr>
                <w:rFonts w:ascii="Ebrima" w:hAnsi="Ebrima"/>
                <w:color w:val="535151"/>
                <w:sz w:val="20"/>
              </w:rPr>
              <w:t>análisis comparativo</w:t>
            </w:r>
            <w:r>
              <w:rPr>
                <w:rFonts w:ascii="Ebrima" w:hAnsi="Ebrima"/>
                <w:color w:val="535151"/>
                <w:sz w:val="20"/>
              </w:rPr>
              <w:t xml:space="preserve"> </w:t>
            </w:r>
            <w:r w:rsidRPr="00B02EA0">
              <w:rPr>
                <w:rFonts w:ascii="Ebrima" w:hAnsi="Ebrima"/>
                <w:color w:val="535151"/>
                <w:sz w:val="20"/>
              </w:rPr>
              <w:t>de las tablas de trabajo, observando flujos de acceso de usuarios y estructuración de la interfaz macroeconómica.</w:t>
            </w:r>
          </w:p>
        </w:tc>
        <w:tc>
          <w:tcPr>
            <w:tcW w:w="2236" w:type="dxa"/>
          </w:tcPr>
          <w:p w14:paraId="6E71D3D4" w14:textId="72CD2CD0" w:rsidR="00B02EA0" w:rsidRPr="00B02EA0" w:rsidRDefault="00B02EA0" w:rsidP="00B02EA0">
            <w:pPr>
              <w:rPr>
                <w:rFonts w:ascii="Ebrima" w:hAnsi="Ebrima"/>
                <w:color w:val="535151"/>
                <w:sz w:val="20"/>
              </w:rPr>
            </w:pPr>
            <w:r w:rsidRPr="00B02EA0">
              <w:rPr>
                <w:rFonts w:ascii="Ebrima" w:hAnsi="Ebrima"/>
                <w:color w:val="535151"/>
                <w:sz w:val="20"/>
              </w:rPr>
              <w:t>Adquisición de valiosa retroalimentación arquitectónica sobre la gestión de estudiantes y despliegue de simuladores web de uso intensivo.</w:t>
            </w:r>
          </w:p>
        </w:tc>
      </w:tr>
    </w:tbl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26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68"/>
      </w:tblGrid>
      <w:tr w:rsidR="00840CF8" w:rsidRPr="009A0588" w14:paraId="04052E0C" w14:textId="77777777" w:rsidTr="008E473B">
        <w:trPr>
          <w:trHeight w:val="1617"/>
        </w:trPr>
        <w:tc>
          <w:tcPr>
            <w:tcW w:w="2122" w:type="dxa"/>
          </w:tcPr>
          <w:p w14:paraId="1643ECEF" w14:textId="7DC2CA62" w:rsidR="00840CF8" w:rsidRPr="00840CF8" w:rsidRDefault="00B02EA0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 xml:space="preserve">Despliegue de </w:t>
            </w: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componentes visuales de resultados.</w:t>
            </w:r>
          </w:p>
        </w:tc>
        <w:tc>
          <w:tcPr>
            <w:tcW w:w="2324" w:type="dxa"/>
          </w:tcPr>
          <w:p w14:paraId="46E54984" w14:textId="4FB88D7F" w:rsidR="00840CF8" w:rsidRPr="00840CF8" w:rsidRDefault="00B02EA0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Reestructuración urgente de las tablas generadas en el sistema para acatar los requerimientos de mayor nivel de detalle solicitados por la Cátedra en las reuniones.</w:t>
            </w:r>
          </w:p>
        </w:tc>
        <w:tc>
          <w:tcPr>
            <w:tcW w:w="2779" w:type="dxa"/>
          </w:tcPr>
          <w:p w14:paraId="65422BBC" w14:textId="102FDC4A" w:rsidR="00840CF8" w:rsidRPr="00840CF8" w:rsidRDefault="00B02EA0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Ampliación del código del contenedor principal para recibir y mapear dinámicamente la nueva matriz de </w:t>
            </w:r>
            <w:proofErr w:type="spellStart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detallesCalculo</w:t>
            </w:r>
            <w:proofErr w:type="spellEnd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 en las tablas visibles del simulador.</w:t>
            </w:r>
          </w:p>
        </w:tc>
        <w:tc>
          <w:tcPr>
            <w:tcW w:w="2268" w:type="dxa"/>
          </w:tcPr>
          <w:p w14:paraId="3694C2E2" w14:textId="70A14CA3" w:rsidR="00840CF8" w:rsidRPr="00840CF8" w:rsidRDefault="00B02EA0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Un módulo económico robusto, validado institucionalmente y con un alto nivel de desglose de datos.</w:t>
            </w:r>
          </w:p>
        </w:tc>
      </w:tr>
      <w:tr w:rsidR="002E52C1" w:rsidRPr="009A0588" w14:paraId="5F0CBC16" w14:textId="77777777" w:rsidTr="008E473B">
        <w:trPr>
          <w:trHeight w:val="1617"/>
        </w:trPr>
        <w:tc>
          <w:tcPr>
            <w:tcW w:w="2122" w:type="dxa"/>
          </w:tcPr>
          <w:p w14:paraId="68AA5824" w14:textId="644FAC64" w:rsidR="002E52C1" w:rsidRDefault="002E52C1" w:rsidP="002E52C1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Segunda reunión de revisión de </w:t>
            </w:r>
            <w:proofErr w:type="spellStart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Sprints</w:t>
            </w:r>
            <w:proofErr w:type="spellEnd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 con el docente de la materia, Lic. Diego Coria (23/04).</w:t>
            </w:r>
          </w:p>
        </w:tc>
        <w:tc>
          <w:tcPr>
            <w:tcW w:w="2324" w:type="dxa"/>
          </w:tcPr>
          <w:p w14:paraId="6A043F02" w14:textId="5F956845" w:rsidR="002E52C1" w:rsidRPr="00B02EA0" w:rsidRDefault="002E52C1" w:rsidP="002E52C1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Observaciones referentes a la precisión visual: los gráficos curvos suavizados de la librería </w:t>
            </w:r>
            <w:proofErr w:type="spellStart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recharts</w:t>
            </w:r>
            <w:proofErr w:type="spellEnd"/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 xml:space="preserve"> no reflejaban la "exactitud" rígida que exige el análisis económico.</w:t>
            </w:r>
          </w:p>
        </w:tc>
        <w:tc>
          <w:tcPr>
            <w:tcW w:w="2779" w:type="dxa"/>
          </w:tcPr>
          <w:p w14:paraId="3FF21913" w14:textId="01CE0725" w:rsidR="002E52C1" w:rsidRPr="00B02EA0" w:rsidRDefault="002E52C1" w:rsidP="002E52C1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Se ajustaron las propiedades paramétricas de renderizado gráfico para forzar trazos rectos, y se planificó la funcionalidad de exportación a PDF para las tablas de resultados.</w:t>
            </w:r>
          </w:p>
        </w:tc>
        <w:tc>
          <w:tcPr>
            <w:tcW w:w="2268" w:type="dxa"/>
          </w:tcPr>
          <w:p w14:paraId="45B8D694" w14:textId="38742C83" w:rsidR="002E52C1" w:rsidRPr="00B02EA0" w:rsidRDefault="002E52C1" w:rsidP="002E52C1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proofErr w:type="spellStart"/>
            <w:r w:rsidRPr="00113FA1">
              <w:rPr>
                <w:rFonts w:ascii="Ebrima" w:hAnsi="Ebrima"/>
                <w:b/>
                <w:bCs/>
                <w:color w:val="535151"/>
                <w:sz w:val="20"/>
                <w:szCs w:val="20"/>
              </w:rPr>
              <w:t>Release</w:t>
            </w:r>
            <w:proofErr w:type="spellEnd"/>
            <w:r w:rsidRPr="00113FA1">
              <w:rPr>
                <w:rFonts w:ascii="Ebrima" w:hAnsi="Ebrima"/>
                <w:b/>
                <w:bCs/>
                <w:color w:val="535151"/>
                <w:sz w:val="20"/>
                <w:szCs w:val="20"/>
              </w:rPr>
              <w:t xml:space="preserve"> completado.</w:t>
            </w:r>
            <w:r w:rsidRPr="00113FA1">
              <w:rPr>
                <w:rFonts w:ascii="Ebrima" w:hAnsi="Ebrima"/>
                <w:color w:val="535151"/>
                <w:sz w:val="20"/>
                <w:szCs w:val="20"/>
              </w:rPr>
              <w:t xml:space="preserve"> </w:t>
            </w:r>
            <w:r w:rsidRPr="00B02EA0">
              <w:rPr>
                <w:rFonts w:ascii="Ebrima" w:hAnsi="Ebrima"/>
                <w:color w:val="535151"/>
                <w:sz w:val="20"/>
                <w:szCs w:val="20"/>
              </w:rPr>
              <w:t>Aprobación oficial del avance del Sprint. Interfaz y gráficos corregidos para apegarse al rigor académico solicitado por el área de estadística.</w:t>
            </w:r>
          </w:p>
        </w:tc>
      </w:tr>
    </w:tbl>
    <w:tbl>
      <w:tblPr>
        <w:tblStyle w:val="Tablaconcuadrculaclara"/>
        <w:tblpPr w:leftFromText="141" w:rightFromText="141" w:vertAnchor="text" w:horzAnchor="margin" w:tblpY="1255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2F066A29" w14:textId="77777777" w:rsidTr="00CA23E6">
        <w:trPr>
          <w:trHeight w:val="756"/>
        </w:trPr>
        <w:tc>
          <w:tcPr>
            <w:tcW w:w="2122" w:type="dxa"/>
            <w:hideMark/>
          </w:tcPr>
          <w:p w14:paraId="56FA1F4C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548F93C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23252C16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641905F5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1F8E133E">
                <wp:simplePos x="0" y="0"/>
                <wp:positionH relativeFrom="margin">
                  <wp:align>left</wp:align>
                </wp:positionH>
                <wp:positionV relativeFrom="paragraph">
                  <wp:posOffset>6404566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04.3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FDF5E" w14:textId="77777777" w:rsidR="00C66FB9" w:rsidRDefault="00C66FB9" w:rsidP="00E40702">
      <w:pPr>
        <w:spacing w:after="0" w:line="240" w:lineRule="auto"/>
      </w:pPr>
      <w:r>
        <w:separator/>
      </w:r>
    </w:p>
  </w:endnote>
  <w:endnote w:type="continuationSeparator" w:id="0">
    <w:p w14:paraId="3F238DAC" w14:textId="77777777" w:rsidR="00C66FB9" w:rsidRDefault="00C66FB9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7617C" w14:textId="77777777" w:rsidR="00C66FB9" w:rsidRDefault="00C66FB9" w:rsidP="00E40702">
      <w:pPr>
        <w:spacing w:after="0" w:line="240" w:lineRule="auto"/>
      </w:pPr>
      <w:r>
        <w:separator/>
      </w:r>
    </w:p>
  </w:footnote>
  <w:footnote w:type="continuationSeparator" w:id="0">
    <w:p w14:paraId="51AB7EF7" w14:textId="77777777" w:rsidR="00C66FB9" w:rsidRDefault="00C66FB9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D691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52C1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3005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7F7B73"/>
    <w:rsid w:val="00803BBA"/>
    <w:rsid w:val="008178DE"/>
    <w:rsid w:val="008246DB"/>
    <w:rsid w:val="008252C1"/>
    <w:rsid w:val="0083294C"/>
    <w:rsid w:val="00840CF8"/>
    <w:rsid w:val="00847892"/>
    <w:rsid w:val="00870CFD"/>
    <w:rsid w:val="00883E26"/>
    <w:rsid w:val="008B1D81"/>
    <w:rsid w:val="008B5275"/>
    <w:rsid w:val="008D7924"/>
    <w:rsid w:val="008E473B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4FB"/>
    <w:rsid w:val="009847C6"/>
    <w:rsid w:val="00990A18"/>
    <w:rsid w:val="00990D00"/>
    <w:rsid w:val="009A0588"/>
    <w:rsid w:val="009B0912"/>
    <w:rsid w:val="009B307D"/>
    <w:rsid w:val="009B6E14"/>
    <w:rsid w:val="009C0B1A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2EA0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66FB9"/>
    <w:rsid w:val="00C82942"/>
    <w:rsid w:val="00C95214"/>
    <w:rsid w:val="00CA23E6"/>
    <w:rsid w:val="00CC1FAB"/>
    <w:rsid w:val="00CC2B29"/>
    <w:rsid w:val="00CD00DF"/>
    <w:rsid w:val="00CE45CB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DE2E93"/>
    <w:rsid w:val="00E11104"/>
    <w:rsid w:val="00E30CA2"/>
    <w:rsid w:val="00E40702"/>
    <w:rsid w:val="00E42578"/>
    <w:rsid w:val="00E5063B"/>
    <w:rsid w:val="00E57248"/>
    <w:rsid w:val="00E754B4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3A2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E6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A2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3</cp:revision>
  <cp:lastPrinted>2025-12-06T03:27:00Z</cp:lastPrinted>
  <dcterms:created xsi:type="dcterms:W3CDTF">2026-05-19T00:38:00Z</dcterms:created>
  <dcterms:modified xsi:type="dcterms:W3CDTF">2026-05-19T13:42:00Z</dcterms:modified>
</cp:coreProperties>
</file>