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16698DD4" w:rsidR="00EE3DAB" w:rsidRPr="00D554DD" w:rsidRDefault="00F62108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19920899" w:rsidR="00EE3DAB" w:rsidRPr="00D554DD" w:rsidRDefault="00F62108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B65B62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27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53444CB8" w14:textId="0B845419" w:rsidR="00EE3DAB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208"/>
        <w:tblW w:w="9895" w:type="dxa"/>
        <w:tblLook w:val="04A0" w:firstRow="1" w:lastRow="0" w:firstColumn="1" w:lastColumn="0" w:noHBand="0" w:noVBand="1"/>
      </w:tblPr>
      <w:tblGrid>
        <w:gridCol w:w="2140"/>
        <w:gridCol w:w="2561"/>
        <w:gridCol w:w="2726"/>
        <w:gridCol w:w="2468"/>
      </w:tblGrid>
      <w:tr w:rsidR="00A364E7" w:rsidRPr="005D2D38" w14:paraId="76B13680" w14:textId="77777777" w:rsidTr="00A364E7">
        <w:trPr>
          <w:trHeight w:val="780"/>
        </w:trPr>
        <w:tc>
          <w:tcPr>
            <w:tcW w:w="2140" w:type="dxa"/>
            <w:hideMark/>
          </w:tcPr>
          <w:p w14:paraId="6BBB047B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561" w:type="dxa"/>
            <w:hideMark/>
          </w:tcPr>
          <w:p w14:paraId="00A7CAEA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26" w:type="dxa"/>
            <w:hideMark/>
          </w:tcPr>
          <w:p w14:paraId="40201999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468" w:type="dxa"/>
            <w:hideMark/>
          </w:tcPr>
          <w:p w14:paraId="2A82CAF7" w14:textId="77777777" w:rsidR="00A364E7" w:rsidRPr="005D2D38" w:rsidRDefault="00A364E7" w:rsidP="00A364E7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A364E7" w:rsidRPr="005D2D38" w14:paraId="7C55B7B0" w14:textId="77777777" w:rsidTr="00A364E7">
        <w:trPr>
          <w:trHeight w:val="1236"/>
        </w:trPr>
        <w:tc>
          <w:tcPr>
            <w:tcW w:w="2140" w:type="dxa"/>
            <w:hideMark/>
          </w:tcPr>
          <w:p w14:paraId="0784C55D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Implementación del Diagrama de Caja y Bigotes (</w:t>
            </w:r>
            <w:proofErr w:type="spellStart"/>
            <w:r w:rsidRPr="00F62108">
              <w:rPr>
                <w:rFonts w:ascii="Ebrima" w:hAnsi="Ebrima"/>
                <w:color w:val="535151"/>
                <w:sz w:val="20"/>
              </w:rPr>
              <w:t>Boxplot</w:t>
            </w:r>
            <w:proofErr w:type="spellEnd"/>
            <w:r w:rsidRPr="00F62108">
              <w:rPr>
                <w:rFonts w:ascii="Ebrima" w:hAnsi="Ebrima"/>
                <w:color w:val="535151"/>
                <w:sz w:val="20"/>
              </w:rPr>
              <w:t>) para la detección visual de la dispersión extrema.</w:t>
            </w:r>
          </w:p>
        </w:tc>
        <w:tc>
          <w:tcPr>
            <w:tcW w:w="2561" w:type="dxa"/>
            <w:hideMark/>
          </w:tcPr>
          <w:p w14:paraId="0B9433D1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Identificar algorítmicamente qué datos correspondían a valores "normales" y cuáles eran valores atípicos.</w:t>
            </w:r>
          </w:p>
        </w:tc>
        <w:tc>
          <w:tcPr>
            <w:tcW w:w="2726" w:type="dxa"/>
            <w:hideMark/>
          </w:tcPr>
          <w:p w14:paraId="4F9480C9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Se programó un filtro de seguridad en el código que aísla los valores atípicos antes de inyectarlos en el componente de visualización.</w:t>
            </w:r>
          </w:p>
        </w:tc>
        <w:tc>
          <w:tcPr>
            <w:tcW w:w="2468" w:type="dxa"/>
            <w:hideMark/>
          </w:tcPr>
          <w:p w14:paraId="0F1D9123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Un diagrama paramétrico profesional que expone gráficamente la concentración de los datos y sus extremos.</w:t>
            </w:r>
          </w:p>
        </w:tc>
      </w:tr>
      <w:tr w:rsidR="00A364E7" w:rsidRPr="005D2D38" w14:paraId="6A0881DD" w14:textId="77777777" w:rsidTr="00A364E7">
        <w:trPr>
          <w:trHeight w:val="1788"/>
        </w:trPr>
        <w:tc>
          <w:tcPr>
            <w:tcW w:w="2140" w:type="dxa"/>
          </w:tcPr>
          <w:p w14:paraId="7F74E22E" w14:textId="77777777" w:rsidR="00A364E7" w:rsidRPr="00A93DC7" w:rsidRDefault="00A364E7" w:rsidP="00A364E7">
            <w:pPr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 xml:space="preserve">Refactorización crítica de la arquitectura del </w:t>
            </w:r>
            <w:proofErr w:type="spellStart"/>
            <w:r w:rsidRPr="00F62108">
              <w:rPr>
                <w:rFonts w:ascii="Ebrima" w:hAnsi="Ebrima"/>
                <w:color w:val="535151"/>
                <w:sz w:val="20"/>
              </w:rPr>
              <w:t>Frontend</w:t>
            </w:r>
            <w:proofErr w:type="spellEnd"/>
            <w:r w:rsidRPr="00F62108">
              <w:rPr>
                <w:rFonts w:ascii="Ebrima" w:hAnsi="Ebrima"/>
                <w:color w:val="535151"/>
                <w:sz w:val="20"/>
              </w:rPr>
              <w:t xml:space="preserve"> y creación de utilidades (</w:t>
            </w:r>
            <w:proofErr w:type="spellStart"/>
            <w:r w:rsidRPr="00F62108">
              <w:rPr>
                <w:rFonts w:ascii="Ebrima" w:hAnsi="Ebrima"/>
                <w:color w:val="535151"/>
                <w:sz w:val="20"/>
              </w:rPr>
              <w:t>utils</w:t>
            </w:r>
            <w:proofErr w:type="spellEnd"/>
            <w:r w:rsidRPr="00F62108">
              <w:rPr>
                <w:rFonts w:ascii="Ebrima" w:hAnsi="Ebrima"/>
                <w:color w:val="535151"/>
                <w:sz w:val="20"/>
              </w:rPr>
              <w:t>/).</w:t>
            </w:r>
          </w:p>
        </w:tc>
        <w:tc>
          <w:tcPr>
            <w:tcW w:w="2561" w:type="dxa"/>
          </w:tcPr>
          <w:p w14:paraId="4215F9AB" w14:textId="77777777" w:rsidR="00A364E7" w:rsidRPr="00A93DC7" w:rsidRDefault="00A364E7" w:rsidP="00A364E7">
            <w:pPr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El archivo controlador de la interfaz superó las 1000 líneas de código, volviéndose inmanejable y difícil de mantener.</w:t>
            </w:r>
          </w:p>
        </w:tc>
        <w:tc>
          <w:tcPr>
            <w:tcW w:w="2726" w:type="dxa"/>
          </w:tcPr>
          <w:p w14:paraId="6017F1CE" w14:textId="77777777" w:rsidR="00A364E7" w:rsidRPr="00A93DC7" w:rsidRDefault="00A364E7" w:rsidP="00A364E7">
            <w:pPr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Se modularizó el proyecto extrayendo toda la lógica de cálculo al archivo independiente estadisticaUnidimensional.js.</w:t>
            </w:r>
          </w:p>
        </w:tc>
        <w:tc>
          <w:tcPr>
            <w:tcW w:w="2468" w:type="dxa"/>
          </w:tcPr>
          <w:p w14:paraId="11A46021" w14:textId="77777777" w:rsidR="00A364E7" w:rsidRPr="00A93DC7" w:rsidRDefault="00A364E7" w:rsidP="00A364E7">
            <w:pPr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Código limpio, altamente organizado y escalable, sentando una base sólida para integrar los módulos del siguiente Sprint.</w:t>
            </w:r>
          </w:p>
        </w:tc>
      </w:tr>
      <w:tr w:rsidR="00A364E7" w:rsidRPr="005D2D38" w14:paraId="23F85CAA" w14:textId="77777777" w:rsidTr="00A364E7">
        <w:trPr>
          <w:trHeight w:val="1670"/>
        </w:trPr>
        <w:tc>
          <w:tcPr>
            <w:tcW w:w="2140" w:type="dxa"/>
            <w:hideMark/>
          </w:tcPr>
          <w:p w14:paraId="636AFE1C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 xml:space="preserve">Etapa de Aseguramiento de Calidad (QA) e integración de la librería </w:t>
            </w:r>
            <w:proofErr w:type="spellStart"/>
            <w:r w:rsidRPr="00F62108">
              <w:rPr>
                <w:rFonts w:ascii="Ebrima" w:hAnsi="Ebrima"/>
                <w:color w:val="535151"/>
                <w:sz w:val="20"/>
              </w:rPr>
              <w:t>sileo</w:t>
            </w:r>
            <w:proofErr w:type="spellEnd"/>
            <w:r w:rsidRPr="00F62108">
              <w:rPr>
                <w:rFonts w:ascii="Ebrima" w:hAnsi="Ebrima"/>
                <w:color w:val="535151"/>
                <w:sz w:val="20"/>
              </w:rPr>
              <w:t xml:space="preserve"> para el manejo de alertas.</w:t>
            </w:r>
          </w:p>
        </w:tc>
        <w:tc>
          <w:tcPr>
            <w:tcW w:w="2561" w:type="dxa"/>
            <w:hideMark/>
          </w:tcPr>
          <w:p w14:paraId="1AA3578F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El sistema fallaba silenciosamente si el usuario intentaba ejecutar cálculos sin haber seleccionado previamente una columna de datos.</w:t>
            </w:r>
          </w:p>
        </w:tc>
        <w:tc>
          <w:tcPr>
            <w:tcW w:w="2726" w:type="dxa"/>
            <w:hideMark/>
          </w:tcPr>
          <w:p w14:paraId="0762C532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Se configuraron notificaciones interactivas emergentes que bloquean la ejecución y guían al operador.</w:t>
            </w:r>
          </w:p>
        </w:tc>
        <w:tc>
          <w:tcPr>
            <w:tcW w:w="2468" w:type="dxa"/>
            <w:hideMark/>
          </w:tcPr>
          <w:p w14:paraId="7333C423" w14:textId="77777777" w:rsidR="00A364E7" w:rsidRPr="005D2D38" w:rsidRDefault="00A364E7" w:rsidP="00A364E7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F62108">
              <w:rPr>
                <w:rFonts w:ascii="Ebrima" w:hAnsi="Ebrima"/>
                <w:color w:val="535151"/>
                <w:sz w:val="20"/>
              </w:rPr>
              <w:t>Despliegue de un Módulo de Estadística Descriptiva (Temas 3 y 4) estable, robusto y guiado para el usuario final.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Pr="00D554DD" w:rsidRDefault="00C40F22">
      <w:pPr>
        <w:rPr>
          <w:rFonts w:ascii="Ebrima" w:hAnsi="Ebrima"/>
          <w:color w:val="535151"/>
        </w:rPr>
      </w:pPr>
    </w:p>
    <w:p w14:paraId="5B7E594D" w14:textId="6A950D6B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2DCFE591">
                <wp:simplePos x="0" y="0"/>
                <wp:positionH relativeFrom="margin">
                  <wp:align>left</wp:align>
                </wp:positionH>
                <wp:positionV relativeFrom="paragraph">
                  <wp:posOffset>281586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2.15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4E4C2D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878AA" w14:textId="77777777" w:rsidR="00084655" w:rsidRDefault="00084655" w:rsidP="00E40702">
      <w:pPr>
        <w:spacing w:after="0" w:line="240" w:lineRule="auto"/>
      </w:pPr>
      <w:r>
        <w:separator/>
      </w:r>
    </w:p>
  </w:endnote>
  <w:endnote w:type="continuationSeparator" w:id="0">
    <w:p w14:paraId="2F569670" w14:textId="77777777" w:rsidR="00084655" w:rsidRDefault="00084655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72BF5" w14:textId="77777777" w:rsidR="00084655" w:rsidRDefault="00084655" w:rsidP="00E40702">
      <w:pPr>
        <w:spacing w:after="0" w:line="240" w:lineRule="auto"/>
      </w:pPr>
      <w:r>
        <w:separator/>
      </w:r>
    </w:p>
  </w:footnote>
  <w:footnote w:type="continuationSeparator" w:id="0">
    <w:p w14:paraId="1CCAFBB3" w14:textId="77777777" w:rsidR="00084655" w:rsidRDefault="00084655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188663163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84655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364E7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2</cp:revision>
  <cp:lastPrinted>2025-12-06T03:27:00Z</cp:lastPrinted>
  <dcterms:created xsi:type="dcterms:W3CDTF">2026-05-18T23:26:00Z</dcterms:created>
  <dcterms:modified xsi:type="dcterms:W3CDTF">2026-05-18T23:26:00Z</dcterms:modified>
</cp:coreProperties>
</file>