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1558A779" w:rsidR="00EE3DAB" w:rsidRPr="00D554DD" w:rsidRDefault="000D691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8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1BEE139E" w:rsidR="00EE3DAB" w:rsidRPr="00D554DD" w:rsidRDefault="000D691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387A94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 w:rsidR="004205E3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7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387A94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1430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6B4024B2" w14:textId="77777777" w:rsidTr="00CA23E6">
        <w:trPr>
          <w:trHeight w:val="756"/>
        </w:trPr>
        <w:tc>
          <w:tcPr>
            <w:tcW w:w="2122" w:type="dxa"/>
            <w:hideMark/>
          </w:tcPr>
          <w:p w14:paraId="6C207544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343FB401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0AE95F69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35FDF8D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CA23E6" w:rsidRPr="005D2D38" w14:paraId="6F163697" w14:textId="77777777" w:rsidTr="00CA23E6">
        <w:trPr>
          <w:trHeight w:val="2062"/>
        </w:trPr>
        <w:tc>
          <w:tcPr>
            <w:tcW w:w="2122" w:type="dxa"/>
            <w:hideMark/>
          </w:tcPr>
          <w:p w14:paraId="16CCC3A4" w14:textId="401237FF" w:rsidR="00CA23E6" w:rsidRPr="005D2D3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>Formateo semántico de Ecuaciones Predictivas y Funciones de Retorno.</w:t>
            </w:r>
          </w:p>
        </w:tc>
        <w:tc>
          <w:tcPr>
            <w:tcW w:w="2324" w:type="dxa"/>
            <w:hideMark/>
          </w:tcPr>
          <w:p w14:paraId="487A3189" w14:textId="77777777" w:rsidR="00CA23E6" w:rsidRPr="005D2D3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>Requerimiento de mostrar las ecuaciones resultantes al usuario y, al mismo tiempo, utilizarlas computacionalmente para dibujar gráficos.</w:t>
            </w:r>
          </w:p>
        </w:tc>
        <w:tc>
          <w:tcPr>
            <w:tcW w:w="2779" w:type="dxa"/>
            <w:hideMark/>
          </w:tcPr>
          <w:p w14:paraId="12CB2F23" w14:textId="77777777" w:rsidR="00CA23E6" w:rsidRPr="005D2D3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>Creación de una función matemática retornable (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</w:rPr>
              <w:t>predecirY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</w:rPr>
              <w:t>) empaquetada junto a la cadena de texto de la ecuación formateada.</w:t>
            </w:r>
          </w:p>
        </w:tc>
        <w:tc>
          <w:tcPr>
            <w:tcW w:w="2236" w:type="dxa"/>
            <w:hideMark/>
          </w:tcPr>
          <w:p w14:paraId="17DC0771" w14:textId="77777777" w:rsidR="00CA23E6" w:rsidRPr="005D2D3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>Herramienta predictiva completa: el analista visualiza la fórmula y el software la emplea para trazar la curva.</w:t>
            </w:r>
          </w:p>
        </w:tc>
      </w:tr>
      <w:tr w:rsidR="00CA23E6" w:rsidRPr="005D2D38" w14:paraId="72B72EDD" w14:textId="77777777" w:rsidTr="00CA23E6">
        <w:trPr>
          <w:trHeight w:val="1732"/>
        </w:trPr>
        <w:tc>
          <w:tcPr>
            <w:tcW w:w="2122" w:type="dxa"/>
          </w:tcPr>
          <w:p w14:paraId="42393611" w14:textId="77777777" w:rsidR="00CA23E6" w:rsidRPr="00A93DC7" w:rsidRDefault="00CA23E6" w:rsidP="00CA23E6">
            <w:pPr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 xml:space="preserve">Integración avanzada con la librería 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</w:rPr>
              <w:t>recharts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</w:rPr>
              <w:t xml:space="preserve"> para la vista predictiva interactiva.</w:t>
            </w:r>
          </w:p>
        </w:tc>
        <w:tc>
          <w:tcPr>
            <w:tcW w:w="2324" w:type="dxa"/>
          </w:tcPr>
          <w:p w14:paraId="27DC03B8" w14:textId="77777777" w:rsidR="00CA23E6" w:rsidRPr="00A93DC7" w:rsidRDefault="00CA23E6" w:rsidP="00CA23E6">
            <w:pPr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 xml:space="preserve">Mezclar diagramas de dispersión (coordenadas reales) con curvas de tendencia generadas dinámicamente sobrepasaba las 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</w:rPr>
              <w:t>props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</w:rPr>
              <w:t xml:space="preserve"> estándar.</w:t>
            </w:r>
          </w:p>
        </w:tc>
        <w:tc>
          <w:tcPr>
            <w:tcW w:w="2779" w:type="dxa"/>
          </w:tcPr>
          <w:p w14:paraId="3E875FA5" w14:textId="77777777" w:rsidR="00CA23E6" w:rsidRPr="00A93DC7" w:rsidRDefault="00CA23E6" w:rsidP="00CA23E6">
            <w:pPr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 xml:space="preserve">Uso del componente 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</w:rPr>
              <w:t>ComposedChart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</w:rPr>
              <w:t xml:space="preserve"> y ordenamiento estricto del array de datos en el eje X para asegurar el trazo continuo de las líneas.</w:t>
            </w:r>
          </w:p>
        </w:tc>
        <w:tc>
          <w:tcPr>
            <w:tcW w:w="2236" w:type="dxa"/>
          </w:tcPr>
          <w:p w14:paraId="6A6D0073" w14:textId="77777777" w:rsidR="00CA23E6" w:rsidRPr="00A93DC7" w:rsidRDefault="00CA23E6" w:rsidP="00CA23E6">
            <w:pPr>
              <w:rPr>
                <w:rFonts w:ascii="Ebrima" w:hAnsi="Ebrima"/>
                <w:color w:val="535151"/>
                <w:sz w:val="20"/>
              </w:rPr>
            </w:pPr>
            <w:r w:rsidRPr="00CA23E6">
              <w:rPr>
                <w:rFonts w:ascii="Ebrima" w:hAnsi="Ebrima"/>
                <w:color w:val="535151"/>
                <w:sz w:val="20"/>
              </w:rPr>
              <w:t>Panel gráfico superpuesto altamente profesional, permitiendo contrastar visualmente el pronóstico del modelo con los datos originales.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26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68"/>
      </w:tblGrid>
      <w:tr w:rsidR="009A0588" w:rsidRPr="009A0588" w14:paraId="7327874E" w14:textId="77777777" w:rsidTr="00CA23E6">
        <w:trPr>
          <w:trHeight w:val="1617"/>
        </w:trPr>
        <w:tc>
          <w:tcPr>
            <w:tcW w:w="2122" w:type="dxa"/>
          </w:tcPr>
          <w:p w14:paraId="4ABCEBE9" w14:textId="15FB09C1" w:rsidR="009A0588" w:rsidRPr="009A058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>Etapa de Aseguramiento de Calidad y extracción de tablas de sumatorias.</w:t>
            </w:r>
          </w:p>
        </w:tc>
        <w:tc>
          <w:tcPr>
            <w:tcW w:w="2324" w:type="dxa"/>
          </w:tcPr>
          <w:p w14:paraId="4F2BBB2A" w14:textId="1ACEBEC1" w:rsidR="00CA23E6" w:rsidRPr="00CA23E6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 xml:space="preserve">Al delegar el cálculo al 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frontend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, los usuarios perdían visibilidad del desglose paso a paso (ej</w:t>
            </w:r>
            <w:r w:rsidRPr="00CA23E6">
              <w:rPr>
                <w:rFonts w:ascii="Ebrima" w:eastAsiaTheme="minorEastAsia" w:hAnsi="Ebrima"/>
                <w:color w:val="535151"/>
                <w:sz w:val="20"/>
                <w:szCs w:val="20"/>
              </w:rPr>
              <w:t>.</w:t>
            </w:r>
            <w:r>
              <w:rPr>
                <w:rFonts w:ascii="Ebrima" w:eastAsiaTheme="minorEastAsia" w:hAnsi="Ebrima"/>
                <w:color w:val="535151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535151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535151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535151"/>
                      <w:sz w:val="20"/>
                      <w:szCs w:val="20"/>
                    </w:rPr>
                    <m:t>2</m:t>
                  </m:r>
                </m:sup>
              </m:sSup>
            </m:oMath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hAnsi="Ebrima"/>
                <w:color w:val="535151"/>
                <w:sz w:val="20"/>
                <w:szCs w:val="20"/>
              </w:rPr>
              <w:t xml:space="preserve">, </w:t>
            </w: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 xml:space="preserve">XY,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535151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535151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535151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535151"/>
                  <w:sz w:val="20"/>
                  <w:szCs w:val="20"/>
                </w:rPr>
                <m:t xml:space="preserve"> . Y</m:t>
              </m:r>
            </m:oMath>
            <w:r>
              <w:rPr>
                <w:rFonts w:ascii="Ebrima" w:eastAsiaTheme="minorEastAsia" w:hAnsi="Ebrima"/>
                <w:color w:val="535151"/>
                <w:sz w:val="20"/>
                <w:szCs w:val="20"/>
              </w:rPr>
              <w:t xml:space="preserve">) </w:t>
            </w: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exigido académicamente.</w:t>
            </w:r>
          </w:p>
          <w:p w14:paraId="4CB3158C" w14:textId="0F5F1EC2" w:rsidR="009A0588" w:rsidRPr="009A0588" w:rsidRDefault="009A0588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</w:p>
        </w:tc>
        <w:tc>
          <w:tcPr>
            <w:tcW w:w="2779" w:type="dxa"/>
          </w:tcPr>
          <w:p w14:paraId="0D4E75C7" w14:textId="38BBB989" w:rsidR="009A0588" w:rsidRPr="009A058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Se estructuró un objeto exportable (</w:t>
            </w:r>
            <w:proofErr w:type="spellStart"/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tablaCalculos</w:t>
            </w:r>
            <w:proofErr w:type="spellEnd"/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) que memoriza y envía toda la tabla de iteraciones matemáticas a la interfaz.</w:t>
            </w:r>
          </w:p>
        </w:tc>
        <w:tc>
          <w:tcPr>
            <w:tcW w:w="2268" w:type="dxa"/>
          </w:tcPr>
          <w:p w14:paraId="16090593" w14:textId="7B3775AE" w:rsidR="009A0588" w:rsidRPr="009A0588" w:rsidRDefault="00CA23E6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CA23E6">
              <w:rPr>
                <w:rFonts w:ascii="Ebrima" w:hAnsi="Ebrima"/>
                <w:color w:val="535151"/>
                <w:sz w:val="20"/>
                <w:szCs w:val="20"/>
              </w:rPr>
              <w:t>Un Módulo Predictivo transparente que no solo predice, sino que justifica matemáticamente todo su proceso interno.</w:t>
            </w:r>
          </w:p>
        </w:tc>
      </w:tr>
      <w:tr w:rsidR="00113FA1" w:rsidRPr="009A0588" w14:paraId="4148DDBF" w14:textId="77777777" w:rsidTr="00CA23E6">
        <w:trPr>
          <w:trHeight w:val="1617"/>
        </w:trPr>
        <w:tc>
          <w:tcPr>
            <w:tcW w:w="2122" w:type="dxa"/>
          </w:tcPr>
          <w:p w14:paraId="00ADCF70" w14:textId="559AA24B" w:rsidR="00113FA1" w:rsidRPr="00CA23E6" w:rsidRDefault="00113FA1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 xml:space="preserve">Primera reunión de revisión técnica y validación de </w:t>
            </w:r>
            <w:proofErr w:type="spellStart"/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>Sprints</w:t>
            </w:r>
            <w:proofErr w:type="spellEnd"/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 xml:space="preserve"> con el docente de la materia (Lic. Diego Coria).</w:t>
            </w:r>
          </w:p>
        </w:tc>
        <w:tc>
          <w:tcPr>
            <w:tcW w:w="2324" w:type="dxa"/>
          </w:tcPr>
          <w:p w14:paraId="26FBBEC0" w14:textId="1BC41FD4" w:rsidR="00113FA1" w:rsidRPr="00CA23E6" w:rsidRDefault="00113FA1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>Los gráficos curvos generaban distorsiones; el docente solicitó forzar trazos rectos y exactos, además de hacer las columnas editables.</w:t>
            </w:r>
          </w:p>
        </w:tc>
        <w:tc>
          <w:tcPr>
            <w:tcW w:w="2779" w:type="dxa"/>
          </w:tcPr>
          <w:p w14:paraId="22D19508" w14:textId="3963A699" w:rsidR="00113FA1" w:rsidRPr="00CA23E6" w:rsidRDefault="00113FA1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>
              <w:rPr>
                <w:rFonts w:ascii="Ebrima" w:hAnsi="Ebrima"/>
                <w:color w:val="535151"/>
                <w:sz w:val="20"/>
                <w:szCs w:val="20"/>
              </w:rPr>
              <w:t>S</w:t>
            </w: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>e registraron los cambios, ajustando las propiedades gráficas y extrayendo las tablas completas de sumatorias a la vista.</w:t>
            </w:r>
          </w:p>
        </w:tc>
        <w:tc>
          <w:tcPr>
            <w:tcW w:w="2268" w:type="dxa"/>
          </w:tcPr>
          <w:p w14:paraId="5D4F2B9C" w14:textId="471E6441" w:rsidR="00113FA1" w:rsidRPr="00CA23E6" w:rsidRDefault="00113FA1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proofErr w:type="spellStart"/>
            <w:r w:rsidRPr="00113FA1">
              <w:rPr>
                <w:rFonts w:ascii="Ebrima" w:hAnsi="Ebrima"/>
                <w:b/>
                <w:bCs/>
                <w:color w:val="535151"/>
                <w:sz w:val="20"/>
                <w:szCs w:val="20"/>
              </w:rPr>
              <w:t>Release</w:t>
            </w:r>
            <w:proofErr w:type="spellEnd"/>
            <w:r w:rsidRPr="00113FA1">
              <w:rPr>
                <w:rFonts w:ascii="Ebrima" w:hAnsi="Ebrima"/>
                <w:b/>
                <w:bCs/>
                <w:color w:val="535151"/>
                <w:sz w:val="20"/>
                <w:szCs w:val="20"/>
              </w:rPr>
              <w:t xml:space="preserve"> completado.</w:t>
            </w: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 xml:space="preserve"> Módulo de Correlación validado por el </w:t>
            </w:r>
            <w:r>
              <w:rPr>
                <w:rFonts w:ascii="Ebrima" w:hAnsi="Ebrima"/>
                <w:color w:val="535151"/>
                <w:sz w:val="20"/>
                <w:szCs w:val="20"/>
              </w:rPr>
              <w:t>Docente</w:t>
            </w: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>, con tablas de cálculo completas y gráficos matemáticamente exactos.</w:t>
            </w:r>
          </w:p>
        </w:tc>
      </w:tr>
    </w:tbl>
    <w:tbl>
      <w:tblPr>
        <w:tblStyle w:val="Tablaconcuadrculaclara"/>
        <w:tblpPr w:leftFromText="141" w:rightFromText="141" w:vertAnchor="text" w:horzAnchor="margin" w:tblpY="1255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2F066A29" w14:textId="77777777" w:rsidTr="00CA23E6">
        <w:trPr>
          <w:trHeight w:val="756"/>
        </w:trPr>
        <w:tc>
          <w:tcPr>
            <w:tcW w:w="2122" w:type="dxa"/>
            <w:hideMark/>
          </w:tcPr>
          <w:p w14:paraId="56FA1F4C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548F93C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23252C16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641905F5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038CB4F3">
                <wp:simplePos x="0" y="0"/>
                <wp:positionH relativeFrom="margin">
                  <wp:align>left</wp:align>
                </wp:positionH>
                <wp:positionV relativeFrom="paragraph">
                  <wp:posOffset>6734574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30.3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C2B9A" w14:textId="77777777" w:rsidR="00DB0DEF" w:rsidRDefault="00DB0DEF" w:rsidP="00E40702">
      <w:pPr>
        <w:spacing w:after="0" w:line="240" w:lineRule="auto"/>
      </w:pPr>
      <w:r>
        <w:separator/>
      </w:r>
    </w:p>
  </w:endnote>
  <w:endnote w:type="continuationSeparator" w:id="0">
    <w:p w14:paraId="37A9B51A" w14:textId="77777777" w:rsidR="00DB0DEF" w:rsidRDefault="00DB0DEF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35CE6" w14:textId="77777777" w:rsidR="00DB0DEF" w:rsidRDefault="00DB0DEF" w:rsidP="00E40702">
      <w:pPr>
        <w:spacing w:after="0" w:line="240" w:lineRule="auto"/>
      </w:pPr>
      <w:r>
        <w:separator/>
      </w:r>
    </w:p>
  </w:footnote>
  <w:footnote w:type="continuationSeparator" w:id="0">
    <w:p w14:paraId="75834E90" w14:textId="77777777" w:rsidR="00DB0DEF" w:rsidRDefault="00DB0DEF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D691B"/>
    <w:rsid w:val="000F0D89"/>
    <w:rsid w:val="000F1180"/>
    <w:rsid w:val="001032A6"/>
    <w:rsid w:val="00110919"/>
    <w:rsid w:val="00113FA1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B4228"/>
    <w:rsid w:val="00AC70A8"/>
    <w:rsid w:val="00AD56E1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A23E6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0DEF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754B4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E6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A2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4</cp:revision>
  <cp:lastPrinted>2025-12-06T03:27:00Z</cp:lastPrinted>
  <dcterms:created xsi:type="dcterms:W3CDTF">2026-05-18T23:52:00Z</dcterms:created>
  <dcterms:modified xsi:type="dcterms:W3CDTF">2026-05-19T13:39:00Z</dcterms:modified>
</cp:coreProperties>
</file>