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4B5563"/>
          <w:sz w:val="28"/>
        </w:rPr>
        <w:t>EFICIENCIA</w:t>
      </w:r>
    </w:p>
    <w:p>
      <w:pPr>
        <w:pStyle w:val="Title"/>
        <w:jc w:val="center"/>
      </w:pPr>
      <w:r>
        <w:t>FPV</w:t>
      </w:r>
    </w:p>
    <w:p>
      <w:pPr>
        <w:jc w:val="center"/>
      </w:pPr>
      <w:r>
        <w:rPr>
          <w:b/>
          <w:sz w:val="32"/>
        </w:rPr>
        <w:t>Fiabilidad · Proporcionalidad · Vínculo</w:t>
      </w:r>
    </w:p>
    <w:p>
      <w:pPr>
        <w:pStyle w:val="SubtitleEF"/>
        <w:jc w:val="center"/>
      </w:pPr>
      <w:r>
        <w:t>Documento Técnico v1.1 · Estado conceptual pre-piloto · Motor de cálculo integrado</w:t>
      </w:r>
    </w:p>
    <w:p/>
    <w:p>
      <w:pPr>
        <w:spacing w:before="60" w:after="120"/>
        <w:ind w:left="504" w:right="288"/>
      </w:pPr>
      <w:r>
        <w:rPr>
          <w:i/>
          <w:color w:val="374151"/>
          <w:sz w:val="21"/>
        </w:rPr>
        <w:t>Instrumento de inteligencia relacional para observar, calcular y preservar la configuración F–P–V de relaciones de intercambio relevantes con la Empresa.</w:t>
      </w:r>
    </w:p>
    <w:p>
      <w:pPr>
        <w:spacing w:before="1000"/>
        <w:jc w:val="center"/>
      </w:pPr>
      <w:r>
        <w:rPr>
          <w:color w:val="6B7280"/>
          <w:sz w:val="18"/>
        </w:rPr>
        <w:t>Septiembre de 2026</w:t>
      </w:r>
    </w:p>
    <w:p>
      <w:r>
        <w:br w:type="page"/>
      </w:r>
    </w:p>
    <w:p>
      <w:pPr>
        <w:pStyle w:val="Heading1"/>
      </w:pPr>
      <w:r>
        <w:t>1. Propósito, alcance y estado</w:t>
      </w:r>
    </w:p>
    <w:p>
      <w:r>
        <w:t>FPV —Fiabilidad, Proporcionalidad y Vínculo— es el instrumento de EFICIENCIA que observa la experiencia de las Personas en relaciones de intercambio relevantes con la Empresa que no son observadas directamente por ICE–IEH. Su propósito es producir inteligencia relacional sobre condiciones que pueden fortalecer o limitar la capacidad de la Empresa para sostener relaciones valiosas.</w:t>
      </w:r>
    </w:p>
    <w:p>
      <w:r>
        <w:t>Esta versión integra el Motor de Cálculo y Lectura FPV. El motor está diseñado para implementación en software sin convertir la experiencia ordinal en una falsa precisión matemática. Por ello conserva siempre la respuesta original, la distribución de categorías, la heterogeneidad, la cobertura y la configuración F–P–V.</w:t>
      </w:r>
    </w:p>
    <w:p>
      <w:pPr>
        <w:spacing w:before="60" w:after="120"/>
        <w:ind w:left="504" w:right="288"/>
      </w:pPr>
      <w:r>
        <w:rPr>
          <w:i/>
          <w:color w:val="374151"/>
          <w:sz w:val="21"/>
        </w:rPr>
        <w:t>Principio rector: la síntesis numérica nunca puede borrar la forma de la evidencia que la produjo.</w:t>
      </w:r>
    </w:p>
    <w:p>
      <w:pPr>
        <w:pStyle w:val="Heading2"/>
      </w:pPr>
      <w:r>
        <w:t>1.1 Lugar en la arquitectura EFICIENCIA</w:t>
      </w:r>
    </w:p>
    <w:tbl>
      <w:tblPr>
        <w:tblStyle w:val="TableGrid"/>
        <w:tblW w:type="auto" w:w="0"/>
        <w:jc w:val="center"/>
        <w:tblLook w:firstColumn="1" w:firstRow="1" w:lastColumn="0" w:lastRow="0" w:noHBand="0" w:noVBand="1" w:val="04A0"/>
      </w:tblPr>
      <w:tblGrid>
        <w:gridCol w:w="3360"/>
        <w:gridCol w:w="3360"/>
        <w:gridCol w:w="3360"/>
      </w:tblGrid>
      <w:tr>
        <w:tc>
          <w:tcPr>
            <w:tcW w:type="dxa" w:w="1584"/>
            <w:shd w:fill="E8EEF5"/>
            <w:tcMar>
              <w:top w:w="60" w:type="dxa"/>
              <w:start w:w="75" w:type="dxa"/>
              <w:bottom w:w="60" w:type="dxa"/>
              <w:end w:w="75" w:type="dxa"/>
            </w:tcMar>
            <w:vAlign w:val="center"/>
          </w:tcPr>
          <w:p>
            <w:r>
              <w:rPr>
                <w:b/>
                <w:sz w:val="17"/>
              </w:rPr>
              <w:t>Lectura</w:t>
            </w:r>
          </w:p>
        </w:tc>
        <w:tc>
          <w:tcPr>
            <w:tcW w:type="dxa" w:w="6624"/>
            <w:shd w:fill="E8EEF5"/>
            <w:tcMar>
              <w:top w:w="60" w:type="dxa"/>
              <w:start w:w="75" w:type="dxa"/>
              <w:bottom w:w="60" w:type="dxa"/>
              <w:end w:w="75" w:type="dxa"/>
            </w:tcMar>
            <w:vAlign w:val="center"/>
          </w:tcPr>
          <w:p>
            <w:r>
              <w:rPr>
                <w:b/>
                <w:sz w:val="17"/>
              </w:rPr>
              <w:t>Qué observa</w:t>
            </w:r>
          </w:p>
        </w:tc>
        <w:tc>
          <w:tcPr>
            <w:tcW w:type="dxa" w:w="2520"/>
            <w:shd w:fill="E8EEF5"/>
            <w:tcMar>
              <w:top w:w="60" w:type="dxa"/>
              <w:start w:w="75" w:type="dxa"/>
              <w:bottom w:w="60" w:type="dxa"/>
              <w:end w:w="75" w:type="dxa"/>
            </w:tcMar>
            <w:vAlign w:val="center"/>
          </w:tcPr>
          <w:p>
            <w:r>
              <w:rPr>
                <w:b/>
                <w:sz w:val="17"/>
              </w:rPr>
              <w:t>Salida primaria</w:t>
            </w:r>
          </w:p>
        </w:tc>
      </w:tr>
      <w:tr>
        <w:tc>
          <w:tcPr>
            <w:tcW w:type="dxa" w:w="1584"/>
            <w:tcMar>
              <w:top w:w="60" w:type="dxa"/>
              <w:start w:w="75" w:type="dxa"/>
              <w:bottom w:w="60" w:type="dxa"/>
              <w:end w:w="75" w:type="dxa"/>
            </w:tcMar>
            <w:vAlign w:val="top"/>
          </w:tcPr>
          <w:p>
            <w:pPr>
              <w:spacing w:after="20"/>
            </w:pPr>
            <w:r>
              <w:rPr>
                <w:sz w:val="17"/>
              </w:rPr>
              <w:t>AIE</w:t>
            </w:r>
          </w:p>
        </w:tc>
        <w:tc>
          <w:tcPr>
            <w:tcW w:type="dxa" w:w="6624"/>
            <w:tcMar>
              <w:top w:w="60" w:type="dxa"/>
              <w:start w:w="75" w:type="dxa"/>
              <w:bottom w:w="60" w:type="dxa"/>
              <w:end w:w="75" w:type="dxa"/>
            </w:tcMar>
            <w:vAlign w:val="top"/>
          </w:tcPr>
          <w:p>
            <w:pPr>
              <w:spacing w:after="20"/>
            </w:pPr>
            <w:r>
              <w:rPr>
                <w:sz w:val="17"/>
              </w:rPr>
              <w:t>Capacidad del sistema organizacional para funcionar y responder.</w:t>
            </w:r>
          </w:p>
        </w:tc>
        <w:tc>
          <w:tcPr>
            <w:tcW w:type="dxa" w:w="2520"/>
            <w:tcMar>
              <w:top w:w="60" w:type="dxa"/>
              <w:start w:w="75" w:type="dxa"/>
              <w:bottom w:w="60" w:type="dxa"/>
              <w:end w:w="75" w:type="dxa"/>
            </w:tcMar>
            <w:vAlign w:val="top"/>
          </w:tcPr>
          <w:p>
            <w:pPr>
              <w:spacing w:after="20"/>
            </w:pPr>
            <w:r>
              <w:rPr>
                <w:sz w:val="17"/>
              </w:rPr>
              <w:t>Estado EFICIENCIA</w:t>
            </w:r>
          </w:p>
        </w:tc>
      </w:tr>
      <w:tr>
        <w:tc>
          <w:tcPr>
            <w:tcW w:type="dxa" w:w="1584"/>
            <w:tcMar>
              <w:top w:w="60" w:type="dxa"/>
              <w:start w:w="75" w:type="dxa"/>
              <w:bottom w:w="60" w:type="dxa"/>
              <w:end w:w="75" w:type="dxa"/>
            </w:tcMar>
            <w:vAlign w:val="top"/>
          </w:tcPr>
          <w:p>
            <w:pPr>
              <w:spacing w:after="20"/>
            </w:pPr>
            <w:r>
              <w:rPr>
                <w:sz w:val="17"/>
              </w:rPr>
              <w:t>FPV</w:t>
            </w:r>
          </w:p>
        </w:tc>
        <w:tc>
          <w:tcPr>
            <w:tcW w:type="dxa" w:w="6624"/>
            <w:tcMar>
              <w:top w:w="60" w:type="dxa"/>
              <w:start w:w="75" w:type="dxa"/>
              <w:bottom w:w="60" w:type="dxa"/>
              <w:end w:w="75" w:type="dxa"/>
            </w:tcMar>
            <w:vAlign w:val="top"/>
          </w:tcPr>
          <w:p>
            <w:pPr>
              <w:spacing w:after="20"/>
            </w:pPr>
            <w:r>
              <w:rPr>
                <w:sz w:val="17"/>
              </w:rPr>
              <w:t>Experiencia de relaciones de intercambio relevantes para sostener valor.</w:t>
            </w:r>
          </w:p>
        </w:tc>
        <w:tc>
          <w:tcPr>
            <w:tcW w:type="dxa" w:w="2520"/>
            <w:tcMar>
              <w:top w:w="60" w:type="dxa"/>
              <w:start w:w="75" w:type="dxa"/>
              <w:bottom w:w="60" w:type="dxa"/>
              <w:end w:w="75" w:type="dxa"/>
            </w:tcMar>
            <w:vAlign w:val="top"/>
          </w:tcPr>
          <w:p>
            <w:pPr>
              <w:spacing w:after="20"/>
            </w:pPr>
            <w:r>
              <w:rPr>
                <w:sz w:val="17"/>
              </w:rPr>
              <w:t>Perfil relacional F | P | V por posición</w:t>
            </w:r>
          </w:p>
        </w:tc>
      </w:tr>
    </w:tbl>
    <w:p>
      <w:pPr>
        <w:spacing w:after="0"/>
      </w:pPr>
    </w:p>
    <w:p>
      <w:r>
        <w:t>FPV no modifica el Estado EFICIENCIA producido por AIE y no se incorpora como un cuarto término en CFG + DYN + EFO. AIE y FPV se contrastan posteriormente en la capa de inteligencia estratégica.</w:t>
      </w:r>
    </w:p>
    <w:p>
      <w:pPr>
        <w:pStyle w:val="Heading1"/>
      </w:pPr>
      <w:r>
        <w:t>2. Fundamento conceptual</w:t>
      </w:r>
    </w:p>
    <w:p>
      <w:r>
        <w:t>FPV se apoya en la Dinámica Natural de EFICIENCIA. La Persona es el punto de partida. La necesidad abre la oportunidad de conectar; la oferta hace posible la conexión; el intercambio inicia un camino compartido; y los intercambios satisfactorios pueden favorecer la formación y conservación del vínculo.</w:t>
      </w:r>
    </w:p>
    <w:tbl>
      <w:tblPr>
        <w:tblStyle w:val="TableGrid"/>
        <w:tblW w:type="auto" w:w="0"/>
        <w:jc w:val="center"/>
        <w:tblLook w:firstColumn="1" w:firstRow="1" w:lastColumn="0" w:lastRow="0" w:noHBand="0" w:noVBand="1" w:val="04A0"/>
      </w:tblPr>
      <w:tblGrid>
        <w:gridCol w:w="5040"/>
        <w:gridCol w:w="5040"/>
      </w:tblGrid>
      <w:tr>
        <w:tc>
          <w:tcPr>
            <w:tcW w:type="dxa" w:w="1944"/>
            <w:shd w:fill="E8EEF5"/>
            <w:tcMar>
              <w:top w:w="60" w:type="dxa"/>
              <w:start w:w="75" w:type="dxa"/>
              <w:bottom w:w="60" w:type="dxa"/>
              <w:end w:w="75" w:type="dxa"/>
            </w:tcMar>
            <w:vAlign w:val="center"/>
          </w:tcPr>
          <w:p>
            <w:r>
              <w:rPr>
                <w:b/>
                <w:sz w:val="17"/>
              </w:rPr>
              <w:t>Elemento</w:t>
            </w:r>
          </w:p>
        </w:tc>
        <w:tc>
          <w:tcPr>
            <w:tcW w:type="dxa" w:w="8784"/>
            <w:shd w:fill="E8EEF5"/>
            <w:tcMar>
              <w:top w:w="60" w:type="dxa"/>
              <w:start w:w="75" w:type="dxa"/>
              <w:bottom w:w="60" w:type="dxa"/>
              <w:end w:w="75" w:type="dxa"/>
            </w:tcMar>
            <w:vAlign w:val="center"/>
          </w:tcPr>
          <w:p>
            <w:r>
              <w:rPr>
                <w:b/>
                <w:sz w:val="17"/>
              </w:rPr>
              <w:t>Formulación funcional</w:t>
            </w:r>
          </w:p>
        </w:tc>
      </w:tr>
      <w:tr>
        <w:tc>
          <w:tcPr>
            <w:tcW w:type="dxa" w:w="1944"/>
            <w:tcMar>
              <w:top w:w="60" w:type="dxa"/>
              <w:start w:w="75" w:type="dxa"/>
              <w:bottom w:w="60" w:type="dxa"/>
              <w:end w:w="75" w:type="dxa"/>
            </w:tcMar>
            <w:vAlign w:val="top"/>
          </w:tcPr>
          <w:p>
            <w:pPr>
              <w:spacing w:after="20"/>
            </w:pPr>
            <w:r>
              <w:rPr>
                <w:sz w:val="17"/>
              </w:rPr>
              <w:t>Necesidad</w:t>
            </w:r>
          </w:p>
        </w:tc>
        <w:tc>
          <w:tcPr>
            <w:tcW w:type="dxa" w:w="8784"/>
            <w:tcMar>
              <w:top w:w="60" w:type="dxa"/>
              <w:start w:w="75" w:type="dxa"/>
              <w:bottom w:w="60" w:type="dxa"/>
              <w:end w:w="75" w:type="dxa"/>
            </w:tcMar>
            <w:vAlign w:val="top"/>
          </w:tcPr>
          <w:p>
            <w:pPr>
              <w:spacing w:after="20"/>
            </w:pPr>
            <w:r>
              <w:rPr>
                <w:sz w:val="17"/>
              </w:rPr>
              <w:t>La necesidad es la oportunidad de conectar.</w:t>
            </w:r>
          </w:p>
        </w:tc>
      </w:tr>
      <w:tr>
        <w:tc>
          <w:tcPr>
            <w:tcW w:type="dxa" w:w="1944"/>
            <w:tcMar>
              <w:top w:w="60" w:type="dxa"/>
              <w:start w:w="75" w:type="dxa"/>
              <w:bottom w:w="60" w:type="dxa"/>
              <w:end w:w="75" w:type="dxa"/>
            </w:tcMar>
            <w:vAlign w:val="top"/>
          </w:tcPr>
          <w:p>
            <w:pPr>
              <w:spacing w:after="20"/>
            </w:pPr>
            <w:r>
              <w:rPr>
                <w:sz w:val="17"/>
              </w:rPr>
              <w:t>Oferta</w:t>
            </w:r>
          </w:p>
        </w:tc>
        <w:tc>
          <w:tcPr>
            <w:tcW w:type="dxa" w:w="8784"/>
            <w:tcMar>
              <w:top w:w="60" w:type="dxa"/>
              <w:start w:w="75" w:type="dxa"/>
              <w:bottom w:w="60" w:type="dxa"/>
              <w:end w:w="75" w:type="dxa"/>
            </w:tcMar>
            <w:vAlign w:val="top"/>
          </w:tcPr>
          <w:p>
            <w:pPr>
              <w:spacing w:after="20"/>
            </w:pPr>
            <w:r>
              <w:rPr>
                <w:sz w:val="17"/>
              </w:rPr>
              <w:t>La oferta es la posibilidad de hacer posible esa conexión.</w:t>
            </w:r>
          </w:p>
        </w:tc>
      </w:tr>
      <w:tr>
        <w:tc>
          <w:tcPr>
            <w:tcW w:type="dxa" w:w="1944"/>
            <w:tcMar>
              <w:top w:w="60" w:type="dxa"/>
              <w:start w:w="75" w:type="dxa"/>
              <w:bottom w:w="60" w:type="dxa"/>
              <w:end w:w="75" w:type="dxa"/>
            </w:tcMar>
            <w:vAlign w:val="top"/>
          </w:tcPr>
          <w:p>
            <w:pPr>
              <w:spacing w:after="20"/>
            </w:pPr>
            <w:r>
              <w:rPr>
                <w:sz w:val="17"/>
              </w:rPr>
              <w:t>Intercambio</w:t>
            </w:r>
          </w:p>
        </w:tc>
        <w:tc>
          <w:tcPr>
            <w:tcW w:type="dxa" w:w="8784"/>
            <w:tcMar>
              <w:top w:w="60" w:type="dxa"/>
              <w:start w:w="75" w:type="dxa"/>
              <w:bottom w:w="60" w:type="dxa"/>
              <w:end w:w="75" w:type="dxa"/>
            </w:tcMar>
            <w:vAlign w:val="top"/>
          </w:tcPr>
          <w:p>
            <w:pPr>
              <w:spacing w:after="20"/>
            </w:pPr>
            <w:r>
              <w:rPr>
                <w:sz w:val="17"/>
              </w:rPr>
              <w:t>Es el inicio del camino compartido.</w:t>
            </w:r>
          </w:p>
        </w:tc>
      </w:tr>
      <w:tr>
        <w:tc>
          <w:tcPr>
            <w:tcW w:type="dxa" w:w="1944"/>
            <w:tcMar>
              <w:top w:w="60" w:type="dxa"/>
              <w:start w:w="75" w:type="dxa"/>
              <w:bottom w:w="60" w:type="dxa"/>
              <w:end w:w="75" w:type="dxa"/>
            </w:tcMar>
            <w:vAlign w:val="top"/>
          </w:tcPr>
          <w:p>
            <w:pPr>
              <w:spacing w:after="20"/>
            </w:pPr>
            <w:r>
              <w:rPr>
                <w:sz w:val="17"/>
              </w:rPr>
              <w:t>Vínculo</w:t>
            </w:r>
          </w:p>
        </w:tc>
        <w:tc>
          <w:tcPr>
            <w:tcW w:type="dxa" w:w="8784"/>
            <w:tcMar>
              <w:top w:w="60" w:type="dxa"/>
              <w:start w:w="75" w:type="dxa"/>
              <w:bottom w:w="60" w:type="dxa"/>
              <w:end w:w="75" w:type="dxa"/>
            </w:tcMar>
            <w:vAlign w:val="top"/>
          </w:tcPr>
          <w:p>
            <w:pPr>
              <w:spacing w:after="20"/>
            </w:pPr>
            <w:r>
              <w:rPr>
                <w:sz w:val="17"/>
              </w:rPr>
              <w:t>La formación de vínculo construye fidelidad o fidelización.</w:t>
            </w:r>
          </w:p>
        </w:tc>
      </w:tr>
    </w:tbl>
    <w:p>
      <w:pPr>
        <w:spacing w:after="0"/>
      </w:pPr>
    </w:p>
    <w:p>
      <w:r>
        <w:t>La relación de intercambio no exige simetría perfecta. Las Personas pueden dar y recibir cosas distintas y en magnitudes distintas. FPV observa cómo la Persona experimenta integridad, justicia y presencia dentro de esa relación.</w:t>
      </w:r>
    </w:p>
    <w:p>
      <w:pPr>
        <w:spacing w:before="60" w:after="120"/>
        <w:ind w:left="504" w:right="288"/>
      </w:pPr>
      <w:r>
        <w:rPr>
          <w:i/>
          <w:color w:val="374151"/>
          <w:sz w:val="21"/>
        </w:rPr>
        <w:t>NECESIDAD ↔ CAPACIDAD · DAR ↔ RECIBIR · INTERDEPENDENCIA</w:t>
      </w:r>
    </w:p>
    <w:p>
      <w:pPr>
        <w:pStyle w:val="Heading2"/>
      </w:pPr>
      <w:r>
        <w:t>2.1 Fundamento relacional</w:t>
      </w:r>
    </w:p>
    <w:p>
      <w:r>
        <w:t>El amor permanece como fundamento subyacente del sistema, entendido como una experiencia humana mediante la cual las Personas participan voluntariamente en dinámicas de presencia, cuidado y reciprocidad que favorecen la formación de vínculos y relaciones significativas. FPV no mide el amor directamente; observa propiedades relacionales compatibles con esa dinámica.</w:t>
      </w:r>
    </w:p>
    <w:p>
      <w:pPr>
        <w:pStyle w:val="Heading1"/>
      </w:pPr>
      <w:r>
        <w:t>3. Arquitectura diagnóstica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E8EEF5"/>
            <w:tcMar>
              <w:top w:w="60" w:type="dxa"/>
              <w:start w:w="75" w:type="dxa"/>
              <w:bottom w:w="60" w:type="dxa"/>
              <w:end w:w="75" w:type="dxa"/>
            </w:tcMar>
            <w:vAlign w:val="center"/>
          </w:tcPr>
          <w:p>
            <w:r>
              <w:rPr>
                <w:b/>
                <w:sz w:val="17"/>
              </w:rPr>
              <w:t>Dimensión</w:t>
            </w:r>
          </w:p>
        </w:tc>
        <w:tc>
          <w:tcPr>
            <w:tcW w:type="dxa" w:w="1728"/>
            <w:shd w:fill="E8EEF5"/>
            <w:tcMar>
              <w:top w:w="60" w:type="dxa"/>
              <w:start w:w="75" w:type="dxa"/>
              <w:bottom w:w="60" w:type="dxa"/>
              <w:end w:w="75" w:type="dxa"/>
            </w:tcMar>
            <w:vAlign w:val="center"/>
          </w:tcPr>
          <w:p>
            <w:r>
              <w:rPr>
                <w:b/>
                <w:sz w:val="17"/>
              </w:rPr>
              <w:t>Sensor</w:t>
            </w:r>
          </w:p>
        </w:tc>
        <w:tc>
          <w:tcPr>
            <w:tcW w:type="dxa" w:w="5328"/>
            <w:shd w:fill="E8EEF5"/>
            <w:tcMar>
              <w:top w:w="60" w:type="dxa"/>
              <w:start w:w="75" w:type="dxa"/>
              <w:bottom w:w="60" w:type="dxa"/>
              <w:end w:w="75" w:type="dxa"/>
            </w:tcMar>
            <w:vAlign w:val="center"/>
          </w:tcPr>
          <w:p>
            <w:r>
              <w:rPr>
                <w:b/>
                <w:sz w:val="17"/>
              </w:rPr>
              <w:t>Qué busca reconocer</w:t>
            </w:r>
          </w:p>
        </w:tc>
        <w:tc>
          <w:tcPr>
            <w:tcW w:type="dxa" w:w="2232"/>
            <w:shd w:fill="E8EEF5"/>
            <w:tcMar>
              <w:top w:w="60" w:type="dxa"/>
              <w:start w:w="75" w:type="dxa"/>
              <w:bottom w:w="60" w:type="dxa"/>
              <w:end w:w="75" w:type="dxa"/>
            </w:tcMar>
            <w:vAlign w:val="center"/>
          </w:tcPr>
          <w:p>
            <w:r>
              <w:rPr>
                <w:b/>
                <w:sz w:val="17"/>
              </w:rPr>
              <w:t>Manifestación relacionada</w:t>
            </w:r>
          </w:p>
        </w:tc>
      </w:tr>
      <w:tr>
        <w:tc>
          <w:tcPr>
            <w:tcW w:type="dxa" w:w="1728"/>
            <w:tcMar>
              <w:top w:w="60" w:type="dxa"/>
              <w:start w:w="75" w:type="dxa"/>
              <w:bottom w:w="60" w:type="dxa"/>
              <w:end w:w="75" w:type="dxa"/>
            </w:tcMar>
            <w:vAlign w:val="top"/>
          </w:tcPr>
          <w:p>
            <w:pPr>
              <w:spacing w:after="20"/>
            </w:pPr>
            <w:r>
              <w:rPr>
                <w:sz w:val="17"/>
              </w:rPr>
              <w:t>Fiabilidad</w:t>
            </w:r>
          </w:p>
        </w:tc>
        <w:tc>
          <w:tcPr>
            <w:tcW w:type="dxa" w:w="1728"/>
            <w:tcMar>
              <w:top w:w="60" w:type="dxa"/>
              <w:start w:w="75" w:type="dxa"/>
              <w:bottom w:w="60" w:type="dxa"/>
              <w:end w:w="75" w:type="dxa"/>
            </w:tcMar>
            <w:vAlign w:val="top"/>
          </w:tcPr>
          <w:p>
            <w:pPr>
              <w:spacing w:after="20"/>
            </w:pPr>
            <w:r>
              <w:rPr>
                <w:sz w:val="17"/>
              </w:rPr>
              <w:t>Consistencia</w:t>
            </w:r>
          </w:p>
        </w:tc>
        <w:tc>
          <w:tcPr>
            <w:tcW w:type="dxa" w:w="5328"/>
            <w:tcMar>
              <w:top w:w="60" w:type="dxa"/>
              <w:start w:w="75" w:type="dxa"/>
              <w:bottom w:w="60" w:type="dxa"/>
              <w:end w:w="75" w:type="dxa"/>
            </w:tcMar>
            <w:vAlign w:val="top"/>
          </w:tcPr>
          <w:p>
            <w:pPr>
              <w:spacing w:after="20"/>
            </w:pPr>
            <w:r>
              <w:rPr>
                <w:sz w:val="17"/>
              </w:rPr>
              <w:t>Integridad entre lo que la Empresa ofrece y lo que efectivamente hace.</w:t>
            </w:r>
          </w:p>
        </w:tc>
        <w:tc>
          <w:tcPr>
            <w:tcW w:type="dxa" w:w="2232"/>
            <w:tcMar>
              <w:top w:w="60" w:type="dxa"/>
              <w:start w:w="75" w:type="dxa"/>
              <w:bottom w:w="60" w:type="dxa"/>
              <w:end w:w="75" w:type="dxa"/>
            </w:tcMar>
            <w:vAlign w:val="top"/>
          </w:tcPr>
          <w:p>
            <w:pPr>
              <w:spacing w:after="20"/>
            </w:pPr>
            <w:r>
              <w:rPr>
                <w:sz w:val="17"/>
              </w:rPr>
              <w:t>Confianza</w:t>
            </w:r>
          </w:p>
        </w:tc>
      </w:tr>
      <w:tr>
        <w:tc>
          <w:tcPr>
            <w:tcW w:type="dxa" w:w="1728"/>
            <w:tcMar>
              <w:top w:w="60" w:type="dxa"/>
              <w:start w:w="75" w:type="dxa"/>
              <w:bottom w:w="60" w:type="dxa"/>
              <w:end w:w="75" w:type="dxa"/>
            </w:tcMar>
            <w:vAlign w:val="top"/>
          </w:tcPr>
          <w:p>
            <w:pPr>
              <w:spacing w:after="20"/>
            </w:pPr>
            <w:r>
              <w:rPr>
                <w:sz w:val="17"/>
              </w:rPr>
              <w:t>Proporcionalidad</w:t>
            </w:r>
          </w:p>
        </w:tc>
        <w:tc>
          <w:tcPr>
            <w:tcW w:type="dxa" w:w="1728"/>
            <w:tcMar>
              <w:top w:w="60" w:type="dxa"/>
              <w:start w:w="75" w:type="dxa"/>
              <w:bottom w:w="60" w:type="dxa"/>
              <w:end w:w="75" w:type="dxa"/>
            </w:tcMar>
            <w:vAlign w:val="top"/>
          </w:tcPr>
          <w:p>
            <w:pPr>
              <w:spacing w:after="20"/>
            </w:pPr>
            <w:r>
              <w:rPr>
                <w:sz w:val="17"/>
              </w:rPr>
              <w:t>Correspondencia</w:t>
            </w:r>
          </w:p>
        </w:tc>
        <w:tc>
          <w:tcPr>
            <w:tcW w:type="dxa" w:w="5328"/>
            <w:tcMar>
              <w:top w:w="60" w:type="dxa"/>
              <w:start w:w="75" w:type="dxa"/>
              <w:bottom w:w="60" w:type="dxa"/>
              <w:end w:w="75" w:type="dxa"/>
            </w:tcMar>
            <w:vAlign w:val="top"/>
          </w:tcPr>
          <w:p>
            <w:pPr>
              <w:spacing w:after="20"/>
            </w:pPr>
            <w:r>
              <w:rPr>
                <w:sz w:val="17"/>
              </w:rPr>
              <w:t>Justicia reconocida entre lo que la Persona recibe y lo que da.</w:t>
            </w:r>
          </w:p>
        </w:tc>
        <w:tc>
          <w:tcPr>
            <w:tcW w:type="dxa" w:w="2232"/>
            <w:tcMar>
              <w:top w:w="60" w:type="dxa"/>
              <w:start w:w="75" w:type="dxa"/>
              <w:bottom w:w="60" w:type="dxa"/>
              <w:end w:w="75" w:type="dxa"/>
            </w:tcMar>
            <w:vAlign w:val="top"/>
          </w:tcPr>
          <w:p>
            <w:pPr>
              <w:spacing w:after="20"/>
            </w:pPr>
            <w:r>
              <w:rPr>
                <w:sz w:val="17"/>
              </w:rPr>
              <w:t>Satisfacción</w:t>
            </w:r>
          </w:p>
        </w:tc>
      </w:tr>
      <w:tr>
        <w:tc>
          <w:tcPr>
            <w:tcW w:type="dxa" w:w="1728"/>
            <w:tcMar>
              <w:top w:w="60" w:type="dxa"/>
              <w:start w:w="75" w:type="dxa"/>
              <w:bottom w:w="60" w:type="dxa"/>
              <w:end w:w="75" w:type="dxa"/>
            </w:tcMar>
            <w:vAlign w:val="top"/>
          </w:tcPr>
          <w:p>
            <w:pPr>
              <w:spacing w:after="20"/>
            </w:pPr>
            <w:r>
              <w:rPr>
                <w:sz w:val="17"/>
              </w:rPr>
              <w:t>Vínculo</w:t>
            </w:r>
          </w:p>
        </w:tc>
        <w:tc>
          <w:tcPr>
            <w:tcW w:type="dxa" w:w="1728"/>
            <w:tcMar>
              <w:top w:w="60" w:type="dxa"/>
              <w:start w:w="75" w:type="dxa"/>
              <w:bottom w:w="60" w:type="dxa"/>
              <w:end w:w="75" w:type="dxa"/>
            </w:tcMar>
            <w:vAlign w:val="top"/>
          </w:tcPr>
          <w:p>
            <w:pPr>
              <w:spacing w:after="20"/>
            </w:pPr>
            <w:r>
              <w:rPr>
                <w:sz w:val="17"/>
              </w:rPr>
              <w:t>Presencia</w:t>
            </w:r>
          </w:p>
        </w:tc>
        <w:tc>
          <w:tcPr>
            <w:tcW w:type="dxa" w:w="5328"/>
            <w:tcMar>
              <w:top w:w="60" w:type="dxa"/>
              <w:start w:w="75" w:type="dxa"/>
              <w:bottom w:w="60" w:type="dxa"/>
              <w:end w:w="75" w:type="dxa"/>
            </w:tcMar>
            <w:vAlign w:val="top"/>
          </w:tcPr>
          <w:p>
            <w:pPr>
              <w:spacing w:after="20"/>
            </w:pPr>
            <w:r>
              <w:rPr>
                <w:sz w:val="17"/>
              </w:rPr>
              <w:t>Valor de la presencia y de la relación para la Persona.</w:t>
            </w:r>
          </w:p>
        </w:tc>
        <w:tc>
          <w:tcPr>
            <w:tcW w:type="dxa" w:w="2232"/>
            <w:tcMar>
              <w:top w:w="60" w:type="dxa"/>
              <w:start w:w="75" w:type="dxa"/>
              <w:bottom w:w="60" w:type="dxa"/>
              <w:end w:w="75" w:type="dxa"/>
            </w:tcMar>
            <w:vAlign w:val="top"/>
          </w:tcPr>
          <w:p>
            <w:pPr>
              <w:spacing w:after="20"/>
            </w:pPr>
            <w:r>
              <w:rPr>
                <w:sz w:val="17"/>
              </w:rPr>
              <w:t>Apego / disposición de cuidado</w:t>
            </w:r>
          </w:p>
        </w:tc>
      </w:tr>
    </w:tbl>
    <w:p>
      <w:pPr>
        <w:spacing w:after="0"/>
      </w:pPr>
    </w:p>
    <w:p>
      <w:r>
        <w:t>Estas relaciones son diagnósticas, no equivalencias ni fórmulas causales. La inferencia nunca puede ser mayor que la evidencia producida por la respuesta.</w:t>
      </w:r>
    </w:p>
    <w:p>
      <w:pPr>
        <w:pStyle w:val="Heading1"/>
      </w:pPr>
      <w:r>
        <w:t>4. Posiciones de participación</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E8EEF5"/>
            <w:tcMar>
              <w:top w:w="60" w:type="dxa"/>
              <w:start w:w="75" w:type="dxa"/>
              <w:bottom w:w="60" w:type="dxa"/>
              <w:end w:w="75" w:type="dxa"/>
            </w:tcMar>
            <w:vAlign w:val="center"/>
          </w:tcPr>
          <w:p>
            <w:r>
              <w:rPr>
                <w:b/>
                <w:sz w:val="17"/>
              </w:rPr>
              <w:t>Posición</w:t>
            </w:r>
          </w:p>
        </w:tc>
        <w:tc>
          <w:tcPr>
            <w:tcW w:type="dxa" w:w="6696"/>
            <w:shd w:fill="E8EEF5"/>
            <w:tcMar>
              <w:top w:w="60" w:type="dxa"/>
              <w:start w:w="75" w:type="dxa"/>
              <w:bottom w:w="60" w:type="dxa"/>
              <w:end w:w="75" w:type="dxa"/>
            </w:tcMar>
            <w:vAlign w:val="center"/>
          </w:tcPr>
          <w:p>
            <w:r>
              <w:rPr>
                <w:b/>
                <w:sz w:val="17"/>
              </w:rPr>
              <w:t>Lógica predominante</w:t>
            </w:r>
          </w:p>
        </w:tc>
        <w:tc>
          <w:tcPr>
            <w:tcW w:type="dxa" w:w="2376"/>
            <w:shd w:fill="E8EEF5"/>
            <w:tcMar>
              <w:top w:w="60" w:type="dxa"/>
              <w:start w:w="75" w:type="dxa"/>
              <w:bottom w:w="60" w:type="dxa"/>
              <w:end w:w="75" w:type="dxa"/>
            </w:tcMar>
            <w:vAlign w:val="center"/>
          </w:tcPr>
          <w:p>
            <w:r>
              <w:rPr>
                <w:b/>
                <w:sz w:val="17"/>
              </w:rPr>
              <w:t>Dirección experiencial predominante</w:t>
            </w:r>
          </w:p>
        </w:tc>
      </w:tr>
      <w:tr>
        <w:tc>
          <w:tcPr>
            <w:tcW w:type="dxa" w:w="1800"/>
            <w:tcMar>
              <w:top w:w="60" w:type="dxa"/>
              <w:start w:w="75" w:type="dxa"/>
              <w:bottom w:w="60" w:type="dxa"/>
              <w:end w:w="75" w:type="dxa"/>
            </w:tcMar>
            <w:vAlign w:val="top"/>
          </w:tcPr>
          <w:p>
            <w:pPr>
              <w:spacing w:after="20"/>
            </w:pPr>
            <w:r>
              <w:rPr>
                <w:sz w:val="17"/>
              </w:rPr>
              <w:t>Consumidor</w:t>
            </w:r>
          </w:p>
        </w:tc>
        <w:tc>
          <w:tcPr>
            <w:tcW w:type="dxa" w:w="6696"/>
            <w:tcMar>
              <w:top w:w="60" w:type="dxa"/>
              <w:start w:w="75" w:type="dxa"/>
              <w:bottom w:w="60" w:type="dxa"/>
              <w:end w:w="75" w:type="dxa"/>
            </w:tcMar>
            <w:vAlign w:val="top"/>
          </w:tcPr>
          <w:p>
            <w:pPr>
              <w:spacing w:after="20"/>
            </w:pPr>
            <w:r>
              <w:rPr>
                <w:sz w:val="17"/>
              </w:rPr>
              <w:t>Recibe una solución frente a una necesidad y evalúa la experiencia con la Empresa.</w:t>
            </w:r>
          </w:p>
        </w:tc>
        <w:tc>
          <w:tcPr>
            <w:tcW w:type="dxa" w:w="2376"/>
            <w:tcMar>
              <w:top w:w="60" w:type="dxa"/>
              <w:start w:w="75" w:type="dxa"/>
              <w:bottom w:w="60" w:type="dxa"/>
              <w:end w:w="75" w:type="dxa"/>
            </w:tcMar>
            <w:vAlign w:val="top"/>
          </w:tcPr>
          <w:p>
            <w:pPr>
              <w:spacing w:after="20"/>
            </w:pPr>
            <w:r>
              <w:rPr>
                <w:sz w:val="17"/>
              </w:rPr>
              <w:t>Empresa → Persona</w:t>
            </w:r>
          </w:p>
        </w:tc>
      </w:tr>
      <w:tr>
        <w:tc>
          <w:tcPr>
            <w:tcW w:type="dxa" w:w="1800"/>
            <w:tcMar>
              <w:top w:w="60" w:type="dxa"/>
              <w:start w:w="75" w:type="dxa"/>
              <w:bottom w:w="60" w:type="dxa"/>
              <w:end w:w="75" w:type="dxa"/>
            </w:tcMar>
            <w:vAlign w:val="top"/>
          </w:tcPr>
          <w:p>
            <w:pPr>
              <w:spacing w:after="20"/>
            </w:pPr>
            <w:r>
              <w:rPr>
                <w:sz w:val="17"/>
              </w:rPr>
              <w:t>Inversionista</w:t>
            </w:r>
          </w:p>
        </w:tc>
        <w:tc>
          <w:tcPr>
            <w:tcW w:type="dxa" w:w="6696"/>
            <w:tcMar>
              <w:top w:w="60" w:type="dxa"/>
              <w:start w:w="75" w:type="dxa"/>
              <w:bottom w:w="60" w:type="dxa"/>
              <w:end w:w="75" w:type="dxa"/>
            </w:tcMar>
            <w:vAlign w:val="top"/>
          </w:tcPr>
          <w:p>
            <w:pPr>
              <w:spacing w:after="20"/>
            </w:pPr>
            <w:r>
              <w:rPr>
                <w:sz w:val="17"/>
              </w:rPr>
              <w:t>Apuesta recursos por la Empresa y evalúa el significado de esa apuesta y su disposición relacional.</w:t>
            </w:r>
          </w:p>
        </w:tc>
        <w:tc>
          <w:tcPr>
            <w:tcW w:type="dxa" w:w="2376"/>
            <w:tcMar>
              <w:top w:w="60" w:type="dxa"/>
              <w:start w:w="75" w:type="dxa"/>
              <w:bottom w:w="60" w:type="dxa"/>
              <w:end w:w="75" w:type="dxa"/>
            </w:tcMar>
            <w:vAlign w:val="top"/>
          </w:tcPr>
          <w:p>
            <w:pPr>
              <w:spacing w:after="20"/>
            </w:pPr>
            <w:r>
              <w:rPr>
                <w:sz w:val="17"/>
              </w:rPr>
              <w:t>Persona → Empresa</w:t>
            </w:r>
          </w:p>
        </w:tc>
      </w:tr>
      <w:tr>
        <w:tc>
          <w:tcPr>
            <w:tcW w:type="dxa" w:w="1800"/>
            <w:tcMar>
              <w:top w:w="60" w:type="dxa"/>
              <w:start w:w="75" w:type="dxa"/>
              <w:bottom w:w="60" w:type="dxa"/>
              <w:end w:w="75" w:type="dxa"/>
            </w:tcMar>
            <w:vAlign w:val="top"/>
          </w:tcPr>
          <w:p>
            <w:pPr>
              <w:spacing w:after="20"/>
            </w:pPr>
            <w:r>
              <w:rPr>
                <w:sz w:val="17"/>
              </w:rPr>
              <w:t>Proveedor</w:t>
            </w:r>
          </w:p>
        </w:tc>
        <w:tc>
          <w:tcPr>
            <w:tcW w:type="dxa" w:w="6696"/>
            <w:tcMar>
              <w:top w:w="60" w:type="dxa"/>
              <w:start w:w="75" w:type="dxa"/>
              <w:bottom w:w="60" w:type="dxa"/>
              <w:end w:w="75" w:type="dxa"/>
            </w:tcMar>
            <w:vAlign w:val="top"/>
          </w:tcPr>
          <w:p>
            <w:pPr>
              <w:spacing w:after="20"/>
            </w:pPr>
            <w:r>
              <w:rPr>
                <w:sz w:val="17"/>
              </w:rPr>
              <w:t>Participa en una relación de interdependencia explícita para sostener capacidades e intercambios.</w:t>
            </w:r>
          </w:p>
        </w:tc>
        <w:tc>
          <w:tcPr>
            <w:tcW w:type="dxa" w:w="2376"/>
            <w:tcMar>
              <w:top w:w="60" w:type="dxa"/>
              <w:start w:w="75" w:type="dxa"/>
              <w:bottom w:w="60" w:type="dxa"/>
              <w:end w:w="75" w:type="dxa"/>
            </w:tcMar>
            <w:vAlign w:val="top"/>
          </w:tcPr>
          <w:p>
            <w:pPr>
              <w:spacing w:after="20"/>
            </w:pPr>
            <w:r>
              <w:rPr>
                <w:sz w:val="17"/>
              </w:rPr>
              <w:t>Persona ↔ Empresa</w:t>
            </w:r>
          </w:p>
        </w:tc>
      </w:tr>
    </w:tbl>
    <w:p>
      <w:pPr>
        <w:spacing w:after="0"/>
      </w:pPr>
    </w:p>
    <w:p>
      <w:r>
        <w:t>Las direcciones anteriores son recursos interpretativos, no nuevas dimensiones. Explican por qué FPV conserva F–P–V pero no exige frases simétricas.</w:t>
      </w:r>
    </w:p>
    <w:p>
      <w:pPr>
        <w:pStyle w:val="Heading1"/>
      </w:pPr>
      <w:r>
        <w:t>5. Cuestionario FPV v1.1 pre-piloto</w:t>
      </w:r>
    </w:p>
    <w:p>
      <w:r>
        <w:t>El instrumento contiene nueve ítems nucleares. El Documento Técnico define con precisión el sensor; la pregunta utiliza lenguaje cotidiano para activar la experiencia que se desea observar.</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E8EEF5"/>
            <w:tcMar>
              <w:top w:w="60" w:type="dxa"/>
              <w:start w:w="75" w:type="dxa"/>
              <w:bottom w:w="60" w:type="dxa"/>
              <w:end w:w="75" w:type="dxa"/>
            </w:tcMar>
            <w:vAlign w:val="center"/>
          </w:tcPr>
          <w:p>
            <w:r>
              <w:rPr>
                <w:b/>
                <w:sz w:val="17"/>
              </w:rPr>
              <w:t>Posición</w:t>
            </w:r>
          </w:p>
        </w:tc>
        <w:tc>
          <w:tcPr>
            <w:tcW w:type="dxa" w:w="1944"/>
            <w:shd w:fill="E8EEF5"/>
            <w:tcMar>
              <w:top w:w="60" w:type="dxa"/>
              <w:start w:w="75" w:type="dxa"/>
              <w:bottom w:w="60" w:type="dxa"/>
              <w:end w:w="75" w:type="dxa"/>
            </w:tcMar>
            <w:vAlign w:val="center"/>
          </w:tcPr>
          <w:p>
            <w:r>
              <w:rPr>
                <w:b/>
                <w:sz w:val="17"/>
              </w:rPr>
              <w:t>Dimensión</w:t>
            </w:r>
          </w:p>
        </w:tc>
        <w:tc>
          <w:tcPr>
            <w:tcW w:type="dxa" w:w="7416"/>
            <w:shd w:fill="E8EEF5"/>
            <w:tcMar>
              <w:top w:w="60" w:type="dxa"/>
              <w:start w:w="75" w:type="dxa"/>
              <w:bottom w:w="60" w:type="dxa"/>
              <w:end w:w="75" w:type="dxa"/>
            </w:tcMar>
            <w:vAlign w:val="center"/>
          </w:tcPr>
          <w:p>
            <w:r>
              <w:rPr>
                <w:b/>
                <w:sz w:val="17"/>
              </w:rPr>
              <w:t>Pregunta</w:t>
            </w:r>
          </w:p>
        </w:tc>
      </w:tr>
      <w:tr>
        <w:tc>
          <w:tcPr>
            <w:tcW w:type="dxa" w:w="1800"/>
            <w:tcMar>
              <w:top w:w="60" w:type="dxa"/>
              <w:start w:w="75" w:type="dxa"/>
              <w:bottom w:w="60" w:type="dxa"/>
              <w:end w:w="75" w:type="dxa"/>
            </w:tcMar>
            <w:vAlign w:val="top"/>
          </w:tcPr>
          <w:p>
            <w:pPr>
              <w:spacing w:after="20"/>
            </w:pPr>
            <w:r>
              <w:rPr>
                <w:sz w:val="17"/>
              </w:rPr>
              <w:t>Consumidor</w:t>
            </w:r>
          </w:p>
        </w:tc>
        <w:tc>
          <w:tcPr>
            <w:tcW w:type="dxa" w:w="1944"/>
            <w:tcMar>
              <w:top w:w="60" w:type="dxa"/>
              <w:start w:w="75" w:type="dxa"/>
              <w:bottom w:w="60" w:type="dxa"/>
              <w:end w:w="75" w:type="dxa"/>
            </w:tcMar>
            <w:vAlign w:val="top"/>
          </w:tcPr>
          <w:p>
            <w:pPr>
              <w:spacing w:after="20"/>
            </w:pPr>
            <w:r>
              <w:rPr>
                <w:sz w:val="17"/>
              </w:rPr>
              <w:t>Fiabilidad</w:t>
            </w:r>
          </w:p>
        </w:tc>
        <w:tc>
          <w:tcPr>
            <w:tcW w:type="dxa" w:w="7416"/>
            <w:tcMar>
              <w:top w:w="60" w:type="dxa"/>
              <w:start w:w="75" w:type="dxa"/>
              <w:bottom w:w="60" w:type="dxa"/>
              <w:end w:w="75" w:type="dxa"/>
            </w:tcMar>
            <w:vAlign w:val="top"/>
          </w:tcPr>
          <w:p>
            <w:pPr>
              <w:spacing w:after="20"/>
            </w:pPr>
            <w:r>
              <w:rPr>
                <w:sz w:val="17"/>
              </w:rPr>
              <w:t>Creo que esta empresa da lo que ofrece.</w:t>
            </w:r>
          </w:p>
        </w:tc>
      </w:tr>
      <w:tr>
        <w:tc>
          <w:tcPr>
            <w:tcW w:type="dxa" w:w="1800"/>
            <w:tcMar>
              <w:top w:w="60" w:type="dxa"/>
              <w:start w:w="75" w:type="dxa"/>
              <w:bottom w:w="60" w:type="dxa"/>
              <w:end w:w="75" w:type="dxa"/>
            </w:tcMar>
            <w:vAlign w:val="top"/>
          </w:tcPr>
          <w:p>
            <w:pPr>
              <w:spacing w:after="20"/>
            </w:pPr>
            <w:r>
              <w:rPr>
                <w:sz w:val="17"/>
              </w:rPr>
              <w:t>Consumidor</w:t>
            </w:r>
          </w:p>
        </w:tc>
        <w:tc>
          <w:tcPr>
            <w:tcW w:type="dxa" w:w="1944"/>
            <w:tcMar>
              <w:top w:w="60" w:type="dxa"/>
              <w:start w:w="75" w:type="dxa"/>
              <w:bottom w:w="60" w:type="dxa"/>
              <w:end w:w="75" w:type="dxa"/>
            </w:tcMar>
            <w:vAlign w:val="top"/>
          </w:tcPr>
          <w:p>
            <w:pPr>
              <w:spacing w:after="20"/>
            </w:pPr>
            <w:r>
              <w:rPr>
                <w:sz w:val="17"/>
              </w:rPr>
              <w:t>Proporcionalidad</w:t>
            </w:r>
          </w:p>
        </w:tc>
        <w:tc>
          <w:tcPr>
            <w:tcW w:type="dxa" w:w="7416"/>
            <w:tcMar>
              <w:top w:w="60" w:type="dxa"/>
              <w:start w:w="75" w:type="dxa"/>
              <w:bottom w:w="60" w:type="dxa"/>
              <w:end w:w="75" w:type="dxa"/>
            </w:tcMar>
            <w:vAlign w:val="top"/>
          </w:tcPr>
          <w:p>
            <w:pPr>
              <w:spacing w:after="20"/>
            </w:pPr>
            <w:r>
              <w:rPr>
                <w:sz w:val="17"/>
              </w:rPr>
              <w:t>Siento que esta empresa me da lo suficiente.</w:t>
            </w:r>
          </w:p>
        </w:tc>
      </w:tr>
      <w:tr>
        <w:tc>
          <w:tcPr>
            <w:tcW w:type="dxa" w:w="1800"/>
            <w:tcMar>
              <w:top w:w="60" w:type="dxa"/>
              <w:start w:w="75" w:type="dxa"/>
              <w:bottom w:w="60" w:type="dxa"/>
              <w:end w:w="75" w:type="dxa"/>
            </w:tcMar>
            <w:vAlign w:val="top"/>
          </w:tcPr>
          <w:p>
            <w:pPr>
              <w:spacing w:after="20"/>
            </w:pPr>
            <w:r>
              <w:rPr>
                <w:sz w:val="17"/>
              </w:rPr>
              <w:t>Consumidor</w:t>
            </w:r>
          </w:p>
        </w:tc>
        <w:tc>
          <w:tcPr>
            <w:tcW w:type="dxa" w:w="1944"/>
            <w:tcMar>
              <w:top w:w="60" w:type="dxa"/>
              <w:start w:w="75" w:type="dxa"/>
              <w:bottom w:w="60" w:type="dxa"/>
              <w:end w:w="75" w:type="dxa"/>
            </w:tcMar>
            <w:vAlign w:val="top"/>
          </w:tcPr>
          <w:p>
            <w:pPr>
              <w:spacing w:after="20"/>
            </w:pPr>
            <w:r>
              <w:rPr>
                <w:sz w:val="17"/>
              </w:rPr>
              <w:t>Vínculo</w:t>
            </w:r>
          </w:p>
        </w:tc>
        <w:tc>
          <w:tcPr>
            <w:tcW w:type="dxa" w:w="7416"/>
            <w:tcMar>
              <w:top w:w="60" w:type="dxa"/>
              <w:start w:w="75" w:type="dxa"/>
              <w:bottom w:w="60" w:type="dxa"/>
              <w:end w:w="75" w:type="dxa"/>
            </w:tcMar>
            <w:vAlign w:val="top"/>
          </w:tcPr>
          <w:p>
            <w:pPr>
              <w:spacing w:after="20"/>
            </w:pPr>
            <w:r>
              <w:rPr>
                <w:sz w:val="17"/>
              </w:rPr>
              <w:t>Quiero seguir contando con esta empresa.</w:t>
            </w:r>
          </w:p>
        </w:tc>
      </w:tr>
      <w:tr>
        <w:tc>
          <w:tcPr>
            <w:tcW w:type="dxa" w:w="1800"/>
            <w:tcMar>
              <w:top w:w="60" w:type="dxa"/>
              <w:start w:w="75" w:type="dxa"/>
              <w:bottom w:w="60" w:type="dxa"/>
              <w:end w:w="75" w:type="dxa"/>
            </w:tcMar>
            <w:vAlign w:val="top"/>
          </w:tcPr>
          <w:p>
            <w:pPr>
              <w:spacing w:after="20"/>
            </w:pPr>
            <w:r>
              <w:rPr>
                <w:sz w:val="17"/>
              </w:rPr>
              <w:t>Inversionista</w:t>
            </w:r>
          </w:p>
        </w:tc>
        <w:tc>
          <w:tcPr>
            <w:tcW w:type="dxa" w:w="1944"/>
            <w:tcMar>
              <w:top w:w="60" w:type="dxa"/>
              <w:start w:w="75" w:type="dxa"/>
              <w:bottom w:w="60" w:type="dxa"/>
              <w:end w:w="75" w:type="dxa"/>
            </w:tcMar>
            <w:vAlign w:val="top"/>
          </w:tcPr>
          <w:p>
            <w:pPr>
              <w:spacing w:after="20"/>
            </w:pPr>
            <w:r>
              <w:rPr>
                <w:sz w:val="17"/>
              </w:rPr>
              <w:t>Fiabilidad</w:t>
            </w:r>
          </w:p>
        </w:tc>
        <w:tc>
          <w:tcPr>
            <w:tcW w:type="dxa" w:w="7416"/>
            <w:tcMar>
              <w:top w:w="60" w:type="dxa"/>
              <w:start w:w="75" w:type="dxa"/>
              <w:bottom w:w="60" w:type="dxa"/>
              <w:end w:w="75" w:type="dxa"/>
            </w:tcMar>
            <w:vAlign w:val="top"/>
          </w:tcPr>
          <w:p>
            <w:pPr>
              <w:spacing w:after="20"/>
            </w:pPr>
            <w:r>
              <w:rPr>
                <w:sz w:val="17"/>
              </w:rPr>
              <w:t>Esta empresa me inspira confianza.</w:t>
            </w:r>
          </w:p>
        </w:tc>
      </w:tr>
      <w:tr>
        <w:tc>
          <w:tcPr>
            <w:tcW w:type="dxa" w:w="1800"/>
            <w:tcMar>
              <w:top w:w="60" w:type="dxa"/>
              <w:start w:w="75" w:type="dxa"/>
              <w:bottom w:w="60" w:type="dxa"/>
              <w:end w:w="75" w:type="dxa"/>
            </w:tcMar>
            <w:vAlign w:val="top"/>
          </w:tcPr>
          <w:p>
            <w:pPr>
              <w:spacing w:after="20"/>
            </w:pPr>
            <w:r>
              <w:rPr>
                <w:sz w:val="17"/>
              </w:rPr>
              <w:t>Inversionista</w:t>
            </w:r>
          </w:p>
        </w:tc>
        <w:tc>
          <w:tcPr>
            <w:tcW w:type="dxa" w:w="1944"/>
            <w:tcMar>
              <w:top w:w="60" w:type="dxa"/>
              <w:start w:w="75" w:type="dxa"/>
              <w:bottom w:w="60" w:type="dxa"/>
              <w:end w:w="75" w:type="dxa"/>
            </w:tcMar>
            <w:vAlign w:val="top"/>
          </w:tcPr>
          <w:p>
            <w:pPr>
              <w:spacing w:after="20"/>
            </w:pPr>
            <w:r>
              <w:rPr>
                <w:sz w:val="17"/>
              </w:rPr>
              <w:t>Proporcionalidad</w:t>
            </w:r>
          </w:p>
        </w:tc>
        <w:tc>
          <w:tcPr>
            <w:tcW w:type="dxa" w:w="7416"/>
            <w:tcMar>
              <w:top w:w="60" w:type="dxa"/>
              <w:start w:w="75" w:type="dxa"/>
              <w:bottom w:w="60" w:type="dxa"/>
              <w:end w:w="75" w:type="dxa"/>
            </w:tcMar>
            <w:vAlign w:val="top"/>
          </w:tcPr>
          <w:p>
            <w:pPr>
              <w:spacing w:after="20"/>
            </w:pPr>
            <w:r>
              <w:rPr>
                <w:sz w:val="17"/>
              </w:rPr>
              <w:t>Mi apuesta por esta empresa valió la pena.</w:t>
            </w:r>
          </w:p>
        </w:tc>
      </w:tr>
      <w:tr>
        <w:tc>
          <w:tcPr>
            <w:tcW w:type="dxa" w:w="1800"/>
            <w:tcMar>
              <w:top w:w="60" w:type="dxa"/>
              <w:start w:w="75" w:type="dxa"/>
              <w:bottom w:w="60" w:type="dxa"/>
              <w:end w:w="75" w:type="dxa"/>
            </w:tcMar>
            <w:vAlign w:val="top"/>
          </w:tcPr>
          <w:p>
            <w:pPr>
              <w:spacing w:after="20"/>
            </w:pPr>
            <w:r>
              <w:rPr>
                <w:sz w:val="17"/>
              </w:rPr>
              <w:t>Inversionista</w:t>
            </w:r>
          </w:p>
        </w:tc>
        <w:tc>
          <w:tcPr>
            <w:tcW w:type="dxa" w:w="1944"/>
            <w:tcMar>
              <w:top w:w="60" w:type="dxa"/>
              <w:start w:w="75" w:type="dxa"/>
              <w:bottom w:w="60" w:type="dxa"/>
              <w:end w:w="75" w:type="dxa"/>
            </w:tcMar>
            <w:vAlign w:val="top"/>
          </w:tcPr>
          <w:p>
            <w:pPr>
              <w:spacing w:after="20"/>
            </w:pPr>
            <w:r>
              <w:rPr>
                <w:sz w:val="17"/>
              </w:rPr>
              <w:t>Vínculo</w:t>
            </w:r>
          </w:p>
        </w:tc>
        <w:tc>
          <w:tcPr>
            <w:tcW w:type="dxa" w:w="7416"/>
            <w:tcMar>
              <w:top w:w="60" w:type="dxa"/>
              <w:start w:w="75" w:type="dxa"/>
              <w:bottom w:w="60" w:type="dxa"/>
              <w:end w:w="75" w:type="dxa"/>
            </w:tcMar>
            <w:vAlign w:val="top"/>
          </w:tcPr>
          <w:p>
            <w:pPr>
              <w:spacing w:after="20"/>
            </w:pPr>
            <w:r>
              <w:rPr>
                <w:sz w:val="17"/>
              </w:rPr>
              <w:t>Quiero que esta empresa siga contando conmigo.</w:t>
            </w:r>
          </w:p>
        </w:tc>
      </w:tr>
      <w:tr>
        <w:tc>
          <w:tcPr>
            <w:tcW w:type="dxa" w:w="1800"/>
            <w:tcMar>
              <w:top w:w="60" w:type="dxa"/>
              <w:start w:w="75" w:type="dxa"/>
              <w:bottom w:w="60" w:type="dxa"/>
              <w:end w:w="75" w:type="dxa"/>
            </w:tcMar>
            <w:vAlign w:val="top"/>
          </w:tcPr>
          <w:p>
            <w:pPr>
              <w:spacing w:after="20"/>
            </w:pPr>
            <w:r>
              <w:rPr>
                <w:sz w:val="17"/>
              </w:rPr>
              <w:t>Proveedor</w:t>
            </w:r>
          </w:p>
        </w:tc>
        <w:tc>
          <w:tcPr>
            <w:tcW w:type="dxa" w:w="1944"/>
            <w:tcMar>
              <w:top w:w="60" w:type="dxa"/>
              <w:start w:w="75" w:type="dxa"/>
              <w:bottom w:w="60" w:type="dxa"/>
              <w:end w:w="75" w:type="dxa"/>
            </w:tcMar>
            <w:vAlign w:val="top"/>
          </w:tcPr>
          <w:p>
            <w:pPr>
              <w:spacing w:after="20"/>
            </w:pPr>
            <w:r>
              <w:rPr>
                <w:sz w:val="17"/>
              </w:rPr>
              <w:t>Fiabilidad</w:t>
            </w:r>
          </w:p>
        </w:tc>
        <w:tc>
          <w:tcPr>
            <w:tcW w:type="dxa" w:w="7416"/>
            <w:tcMar>
              <w:top w:w="60" w:type="dxa"/>
              <w:start w:w="75" w:type="dxa"/>
              <w:bottom w:w="60" w:type="dxa"/>
              <w:end w:w="75" w:type="dxa"/>
            </w:tcMar>
            <w:vAlign w:val="top"/>
          </w:tcPr>
          <w:p>
            <w:pPr>
              <w:spacing w:after="20"/>
            </w:pPr>
            <w:r>
              <w:rPr>
                <w:sz w:val="17"/>
              </w:rPr>
              <w:t>Esta empresa es como un socio confiable.</w:t>
            </w:r>
          </w:p>
        </w:tc>
      </w:tr>
      <w:tr>
        <w:tc>
          <w:tcPr>
            <w:tcW w:type="dxa" w:w="1800"/>
            <w:tcMar>
              <w:top w:w="60" w:type="dxa"/>
              <w:start w:w="75" w:type="dxa"/>
              <w:bottom w:w="60" w:type="dxa"/>
              <w:end w:w="75" w:type="dxa"/>
            </w:tcMar>
            <w:vAlign w:val="top"/>
          </w:tcPr>
          <w:p>
            <w:pPr>
              <w:spacing w:after="20"/>
            </w:pPr>
            <w:r>
              <w:rPr>
                <w:sz w:val="17"/>
              </w:rPr>
              <w:t>Proveedor</w:t>
            </w:r>
          </w:p>
        </w:tc>
        <w:tc>
          <w:tcPr>
            <w:tcW w:type="dxa" w:w="1944"/>
            <w:tcMar>
              <w:top w:w="60" w:type="dxa"/>
              <w:start w:w="75" w:type="dxa"/>
              <w:bottom w:w="60" w:type="dxa"/>
              <w:end w:w="75" w:type="dxa"/>
            </w:tcMar>
            <w:vAlign w:val="top"/>
          </w:tcPr>
          <w:p>
            <w:pPr>
              <w:spacing w:after="20"/>
            </w:pPr>
            <w:r>
              <w:rPr>
                <w:sz w:val="17"/>
              </w:rPr>
              <w:t>Proporcionalidad</w:t>
            </w:r>
          </w:p>
        </w:tc>
        <w:tc>
          <w:tcPr>
            <w:tcW w:type="dxa" w:w="7416"/>
            <w:tcMar>
              <w:top w:w="60" w:type="dxa"/>
              <w:start w:w="75" w:type="dxa"/>
              <w:bottom w:w="60" w:type="dxa"/>
              <w:end w:w="75" w:type="dxa"/>
            </w:tcMar>
            <w:vAlign w:val="top"/>
          </w:tcPr>
          <w:p>
            <w:pPr>
              <w:spacing w:after="20"/>
            </w:pPr>
            <w:r>
              <w:rPr>
                <w:sz w:val="17"/>
              </w:rPr>
              <w:t>Nuestra relación es de beneficios mutuos.</w:t>
            </w:r>
          </w:p>
        </w:tc>
      </w:tr>
      <w:tr>
        <w:tc>
          <w:tcPr>
            <w:tcW w:type="dxa" w:w="1800"/>
            <w:tcMar>
              <w:top w:w="60" w:type="dxa"/>
              <w:start w:w="75" w:type="dxa"/>
              <w:bottom w:w="60" w:type="dxa"/>
              <w:end w:w="75" w:type="dxa"/>
            </w:tcMar>
            <w:vAlign w:val="top"/>
          </w:tcPr>
          <w:p>
            <w:pPr>
              <w:spacing w:after="20"/>
            </w:pPr>
            <w:r>
              <w:rPr>
                <w:sz w:val="17"/>
              </w:rPr>
              <w:t>Proveedor</w:t>
            </w:r>
          </w:p>
        </w:tc>
        <w:tc>
          <w:tcPr>
            <w:tcW w:type="dxa" w:w="1944"/>
            <w:tcMar>
              <w:top w:w="60" w:type="dxa"/>
              <w:start w:w="75" w:type="dxa"/>
              <w:bottom w:w="60" w:type="dxa"/>
              <w:end w:w="75" w:type="dxa"/>
            </w:tcMar>
            <w:vAlign w:val="top"/>
          </w:tcPr>
          <w:p>
            <w:pPr>
              <w:spacing w:after="20"/>
            </w:pPr>
            <w:r>
              <w:rPr>
                <w:sz w:val="17"/>
              </w:rPr>
              <w:t>Vínculo</w:t>
            </w:r>
          </w:p>
        </w:tc>
        <w:tc>
          <w:tcPr>
            <w:tcW w:type="dxa" w:w="7416"/>
            <w:tcMar>
              <w:top w:w="60" w:type="dxa"/>
              <w:start w:w="75" w:type="dxa"/>
              <w:bottom w:w="60" w:type="dxa"/>
              <w:end w:w="75" w:type="dxa"/>
            </w:tcMar>
            <w:vAlign w:val="top"/>
          </w:tcPr>
          <w:p>
            <w:pPr>
              <w:spacing w:after="20"/>
            </w:pPr>
            <w:r>
              <w:rPr>
                <w:sz w:val="17"/>
              </w:rPr>
              <w:t>Cuidar nuestra relación es una prioridad.</w:t>
            </w:r>
          </w:p>
        </w:tc>
      </w:tr>
    </w:tbl>
    <w:p>
      <w:pPr>
        <w:spacing w:after="0"/>
      </w:pPr>
    </w:p>
    <w:p>
      <w:pPr>
        <w:pStyle w:val="Heading2"/>
      </w:pPr>
      <w:r>
        <w:t>5.1 Criterio semántico</w:t>
      </w:r>
    </w:p>
    <w:p>
      <w:r>
        <w:t>En «me da lo suficiente», la suficiencia funciona coloquialmente como valoración situada dentro del intercambio. En «socio confiable», socio se utiliza en el sentido coloquial de partner: alguien con quien se puede caminar la jornada y con quien se puede contar; no como figura societaria o jurídica.</w:t>
      </w:r>
    </w:p>
    <w:p>
      <w:pPr>
        <w:spacing w:before="60" w:after="120"/>
        <w:ind w:left="504" w:right="288"/>
      </w:pPr>
      <w:r>
        <w:rPr>
          <w:i/>
          <w:color w:val="374151"/>
          <w:sz w:val="21"/>
        </w:rPr>
        <w:t>Lenguaje técnico para definir qué se observa; lenguaje humano para preguntar por la experiencia.</w:t>
      </w:r>
    </w:p>
    <w:p>
      <w:pPr>
        <w:pStyle w:val="Heading1"/>
      </w:pPr>
      <w:r>
        <w:t>6. Escala, codificación y datos faltantes</w:t>
      </w:r>
    </w:p>
    <w:tbl>
      <w:tblPr>
        <w:tblStyle w:val="TableGrid"/>
        <w:tblW w:type="auto" w:w="0"/>
        <w:jc w:val="center"/>
        <w:tblLook w:firstColumn="1" w:firstRow="1" w:lastColumn="0" w:lastRow="0" w:noHBand="0" w:noVBand="1" w:val="04A0"/>
      </w:tblPr>
      <w:tblGrid>
        <w:gridCol w:w="3360"/>
        <w:gridCol w:w="3360"/>
        <w:gridCol w:w="3360"/>
      </w:tblGrid>
      <w:tr>
        <w:tc>
          <w:tcPr>
            <w:tcW w:type="dxa" w:w="1296"/>
            <w:shd w:fill="E8EEF5"/>
            <w:tcMar>
              <w:top w:w="60" w:type="dxa"/>
              <w:start w:w="75" w:type="dxa"/>
              <w:bottom w:w="60" w:type="dxa"/>
              <w:end w:w="75" w:type="dxa"/>
            </w:tcMar>
            <w:vAlign w:val="center"/>
          </w:tcPr>
          <w:p>
            <w:r>
              <w:rPr>
                <w:b/>
                <w:sz w:val="17"/>
              </w:rPr>
              <w:t>Código</w:t>
            </w:r>
          </w:p>
        </w:tc>
        <w:tc>
          <w:tcPr>
            <w:tcW w:type="dxa" w:w="6768"/>
            <w:shd w:fill="E8EEF5"/>
            <w:tcMar>
              <w:top w:w="60" w:type="dxa"/>
              <w:start w:w="75" w:type="dxa"/>
              <w:bottom w:w="60" w:type="dxa"/>
              <w:end w:w="75" w:type="dxa"/>
            </w:tcMar>
            <w:vAlign w:val="center"/>
          </w:tcPr>
          <w:p>
            <w:r>
              <w:rPr>
                <w:b/>
                <w:sz w:val="17"/>
              </w:rPr>
              <w:t>Respuesta</w:t>
            </w:r>
          </w:p>
        </w:tc>
        <w:tc>
          <w:tcPr>
            <w:tcW w:type="dxa" w:w="2592"/>
            <w:shd w:fill="E8EEF5"/>
            <w:tcMar>
              <w:top w:w="60" w:type="dxa"/>
              <w:start w:w="75" w:type="dxa"/>
              <w:bottom w:w="60" w:type="dxa"/>
              <w:end w:w="75" w:type="dxa"/>
            </w:tcMar>
            <w:vAlign w:val="center"/>
          </w:tcPr>
          <w:p>
            <w:r>
              <w:rPr>
                <w:b/>
                <w:sz w:val="17"/>
              </w:rPr>
              <w:t>Valor normalizado de presentación</w:t>
            </w:r>
          </w:p>
        </w:tc>
      </w:tr>
      <w:tr>
        <w:tc>
          <w:tcPr>
            <w:tcW w:type="dxa" w:w="1296"/>
            <w:tcMar>
              <w:top w:w="60" w:type="dxa"/>
              <w:start w:w="75" w:type="dxa"/>
              <w:bottom w:w="60" w:type="dxa"/>
              <w:end w:w="75" w:type="dxa"/>
            </w:tcMar>
            <w:vAlign w:val="top"/>
          </w:tcPr>
          <w:p>
            <w:pPr>
              <w:spacing w:after="20"/>
            </w:pPr>
            <w:r>
              <w:rPr>
                <w:sz w:val="17"/>
              </w:rPr>
              <w:t>1</w:t>
            </w:r>
          </w:p>
        </w:tc>
        <w:tc>
          <w:tcPr>
            <w:tcW w:type="dxa" w:w="6768"/>
            <w:tcMar>
              <w:top w:w="60" w:type="dxa"/>
              <w:start w:w="75" w:type="dxa"/>
              <w:bottom w:w="60" w:type="dxa"/>
              <w:end w:w="75" w:type="dxa"/>
            </w:tcMar>
            <w:vAlign w:val="top"/>
          </w:tcPr>
          <w:p>
            <w:pPr>
              <w:spacing w:after="20"/>
            </w:pPr>
            <w:r>
              <w:rPr>
                <w:sz w:val="17"/>
              </w:rPr>
              <w:t>Totalmente en desacuerdo</w:t>
            </w:r>
          </w:p>
        </w:tc>
        <w:tc>
          <w:tcPr>
            <w:tcW w:type="dxa" w:w="2592"/>
            <w:tcMar>
              <w:top w:w="60" w:type="dxa"/>
              <w:start w:w="75" w:type="dxa"/>
              <w:bottom w:w="60" w:type="dxa"/>
              <w:end w:w="75" w:type="dxa"/>
            </w:tcMar>
            <w:vAlign w:val="top"/>
          </w:tcPr>
          <w:p>
            <w:pPr>
              <w:spacing w:after="20"/>
            </w:pPr>
            <w:r>
              <w:rPr>
                <w:sz w:val="17"/>
              </w:rPr>
              <w:t>0</w:t>
            </w:r>
          </w:p>
        </w:tc>
      </w:tr>
      <w:tr>
        <w:tc>
          <w:tcPr>
            <w:tcW w:type="dxa" w:w="1296"/>
            <w:tcMar>
              <w:top w:w="60" w:type="dxa"/>
              <w:start w:w="75" w:type="dxa"/>
              <w:bottom w:w="60" w:type="dxa"/>
              <w:end w:w="75" w:type="dxa"/>
            </w:tcMar>
            <w:vAlign w:val="top"/>
          </w:tcPr>
          <w:p>
            <w:pPr>
              <w:spacing w:after="20"/>
            </w:pPr>
            <w:r>
              <w:rPr>
                <w:sz w:val="17"/>
              </w:rPr>
              <w:t>2</w:t>
            </w:r>
          </w:p>
        </w:tc>
        <w:tc>
          <w:tcPr>
            <w:tcW w:type="dxa" w:w="6768"/>
            <w:tcMar>
              <w:top w:w="60" w:type="dxa"/>
              <w:start w:w="75" w:type="dxa"/>
              <w:bottom w:w="60" w:type="dxa"/>
              <w:end w:w="75" w:type="dxa"/>
            </w:tcMar>
            <w:vAlign w:val="top"/>
          </w:tcPr>
          <w:p>
            <w:pPr>
              <w:spacing w:after="20"/>
            </w:pPr>
            <w:r>
              <w:rPr>
                <w:sz w:val="17"/>
              </w:rPr>
              <w:t>En desacuerdo</w:t>
            </w:r>
          </w:p>
        </w:tc>
        <w:tc>
          <w:tcPr>
            <w:tcW w:type="dxa" w:w="2592"/>
            <w:tcMar>
              <w:top w:w="60" w:type="dxa"/>
              <w:start w:w="75" w:type="dxa"/>
              <w:bottom w:w="60" w:type="dxa"/>
              <w:end w:w="75" w:type="dxa"/>
            </w:tcMar>
            <w:vAlign w:val="top"/>
          </w:tcPr>
          <w:p>
            <w:pPr>
              <w:spacing w:after="20"/>
            </w:pPr>
            <w:r>
              <w:rPr>
                <w:sz w:val="17"/>
              </w:rPr>
              <w:t>25</w:t>
            </w:r>
          </w:p>
        </w:tc>
      </w:tr>
      <w:tr>
        <w:tc>
          <w:tcPr>
            <w:tcW w:type="dxa" w:w="1296"/>
            <w:tcMar>
              <w:top w:w="60" w:type="dxa"/>
              <w:start w:w="75" w:type="dxa"/>
              <w:bottom w:w="60" w:type="dxa"/>
              <w:end w:w="75" w:type="dxa"/>
            </w:tcMar>
            <w:vAlign w:val="top"/>
          </w:tcPr>
          <w:p>
            <w:pPr>
              <w:spacing w:after="20"/>
            </w:pPr>
            <w:r>
              <w:rPr>
                <w:sz w:val="17"/>
              </w:rPr>
              <w:t>3</w:t>
            </w:r>
          </w:p>
        </w:tc>
        <w:tc>
          <w:tcPr>
            <w:tcW w:type="dxa" w:w="6768"/>
            <w:tcMar>
              <w:top w:w="60" w:type="dxa"/>
              <w:start w:w="75" w:type="dxa"/>
              <w:bottom w:w="60" w:type="dxa"/>
              <w:end w:w="75" w:type="dxa"/>
            </w:tcMar>
            <w:vAlign w:val="top"/>
          </w:tcPr>
          <w:p>
            <w:pPr>
              <w:spacing w:after="20"/>
            </w:pPr>
            <w:r>
              <w:rPr>
                <w:sz w:val="17"/>
              </w:rPr>
              <w:t>Ni de acuerdo ni en desacuerdo</w:t>
            </w:r>
          </w:p>
        </w:tc>
        <w:tc>
          <w:tcPr>
            <w:tcW w:type="dxa" w:w="2592"/>
            <w:tcMar>
              <w:top w:w="60" w:type="dxa"/>
              <w:start w:w="75" w:type="dxa"/>
              <w:bottom w:w="60" w:type="dxa"/>
              <w:end w:w="75" w:type="dxa"/>
            </w:tcMar>
            <w:vAlign w:val="top"/>
          </w:tcPr>
          <w:p>
            <w:pPr>
              <w:spacing w:after="20"/>
            </w:pPr>
            <w:r>
              <w:rPr>
                <w:sz w:val="17"/>
              </w:rPr>
              <w:t>50</w:t>
            </w:r>
          </w:p>
        </w:tc>
      </w:tr>
      <w:tr>
        <w:tc>
          <w:tcPr>
            <w:tcW w:type="dxa" w:w="1296"/>
            <w:tcMar>
              <w:top w:w="60" w:type="dxa"/>
              <w:start w:w="75" w:type="dxa"/>
              <w:bottom w:w="60" w:type="dxa"/>
              <w:end w:w="75" w:type="dxa"/>
            </w:tcMar>
            <w:vAlign w:val="top"/>
          </w:tcPr>
          <w:p>
            <w:pPr>
              <w:spacing w:after="20"/>
            </w:pPr>
            <w:r>
              <w:rPr>
                <w:sz w:val="17"/>
              </w:rPr>
              <w:t>4</w:t>
            </w:r>
          </w:p>
        </w:tc>
        <w:tc>
          <w:tcPr>
            <w:tcW w:type="dxa" w:w="6768"/>
            <w:tcMar>
              <w:top w:w="60" w:type="dxa"/>
              <w:start w:w="75" w:type="dxa"/>
              <w:bottom w:w="60" w:type="dxa"/>
              <w:end w:w="75" w:type="dxa"/>
            </w:tcMar>
            <w:vAlign w:val="top"/>
          </w:tcPr>
          <w:p>
            <w:pPr>
              <w:spacing w:after="20"/>
            </w:pPr>
            <w:r>
              <w:rPr>
                <w:sz w:val="17"/>
              </w:rPr>
              <w:t>De acuerdo</w:t>
            </w:r>
          </w:p>
        </w:tc>
        <w:tc>
          <w:tcPr>
            <w:tcW w:type="dxa" w:w="2592"/>
            <w:tcMar>
              <w:top w:w="60" w:type="dxa"/>
              <w:start w:w="75" w:type="dxa"/>
              <w:bottom w:w="60" w:type="dxa"/>
              <w:end w:w="75" w:type="dxa"/>
            </w:tcMar>
            <w:vAlign w:val="top"/>
          </w:tcPr>
          <w:p>
            <w:pPr>
              <w:spacing w:after="20"/>
            </w:pPr>
            <w:r>
              <w:rPr>
                <w:sz w:val="17"/>
              </w:rPr>
              <w:t>75</w:t>
            </w:r>
          </w:p>
        </w:tc>
      </w:tr>
      <w:tr>
        <w:tc>
          <w:tcPr>
            <w:tcW w:type="dxa" w:w="1296"/>
            <w:tcMar>
              <w:top w:w="60" w:type="dxa"/>
              <w:start w:w="75" w:type="dxa"/>
              <w:bottom w:w="60" w:type="dxa"/>
              <w:end w:w="75" w:type="dxa"/>
            </w:tcMar>
            <w:vAlign w:val="top"/>
          </w:tcPr>
          <w:p>
            <w:pPr>
              <w:spacing w:after="20"/>
            </w:pPr>
            <w:r>
              <w:rPr>
                <w:sz w:val="17"/>
              </w:rPr>
              <w:t>5</w:t>
            </w:r>
          </w:p>
        </w:tc>
        <w:tc>
          <w:tcPr>
            <w:tcW w:type="dxa" w:w="6768"/>
            <w:tcMar>
              <w:top w:w="60" w:type="dxa"/>
              <w:start w:w="75" w:type="dxa"/>
              <w:bottom w:w="60" w:type="dxa"/>
              <w:end w:w="75" w:type="dxa"/>
            </w:tcMar>
            <w:vAlign w:val="top"/>
          </w:tcPr>
          <w:p>
            <w:pPr>
              <w:spacing w:after="20"/>
            </w:pPr>
            <w:r>
              <w:rPr>
                <w:sz w:val="17"/>
              </w:rPr>
              <w:t>Totalmente de acuerdo</w:t>
            </w:r>
          </w:p>
        </w:tc>
        <w:tc>
          <w:tcPr>
            <w:tcW w:type="dxa" w:w="2592"/>
            <w:tcMar>
              <w:top w:w="60" w:type="dxa"/>
              <w:start w:w="75" w:type="dxa"/>
              <w:bottom w:w="60" w:type="dxa"/>
              <w:end w:w="75" w:type="dxa"/>
            </w:tcMar>
            <w:vAlign w:val="top"/>
          </w:tcPr>
          <w:p>
            <w:pPr>
              <w:spacing w:after="20"/>
            </w:pPr>
            <w:r>
              <w:rPr>
                <w:sz w:val="17"/>
              </w:rPr>
              <w:t>100</w:t>
            </w:r>
          </w:p>
        </w:tc>
      </w:tr>
      <w:tr>
        <w:tc>
          <w:tcPr>
            <w:tcW w:type="dxa" w:w="1296"/>
            <w:tcMar>
              <w:top w:w="60" w:type="dxa"/>
              <w:start w:w="75" w:type="dxa"/>
              <w:bottom w:w="60" w:type="dxa"/>
              <w:end w:w="75" w:type="dxa"/>
            </w:tcMar>
            <w:vAlign w:val="top"/>
          </w:tcPr>
          <w:p>
            <w:pPr>
              <w:spacing w:after="20"/>
            </w:pPr>
            <w:r>
              <w:rPr>
                <w:sz w:val="17"/>
              </w:rPr>
              <w:t>NE</w:t>
            </w:r>
          </w:p>
        </w:tc>
        <w:tc>
          <w:tcPr>
            <w:tcW w:type="dxa" w:w="6768"/>
            <w:tcMar>
              <w:top w:w="60" w:type="dxa"/>
              <w:start w:w="75" w:type="dxa"/>
              <w:bottom w:w="60" w:type="dxa"/>
              <w:end w:w="75" w:type="dxa"/>
            </w:tcMar>
            <w:vAlign w:val="top"/>
          </w:tcPr>
          <w:p>
            <w:pPr>
              <w:spacing w:after="20"/>
            </w:pPr>
            <w:r>
              <w:rPr>
                <w:sz w:val="17"/>
              </w:rPr>
              <w:t>No tengo experiencia suficiente para responder</w:t>
            </w:r>
          </w:p>
        </w:tc>
        <w:tc>
          <w:tcPr>
            <w:tcW w:type="dxa" w:w="2592"/>
            <w:tcMar>
              <w:top w:w="60" w:type="dxa"/>
              <w:start w:w="75" w:type="dxa"/>
              <w:bottom w:w="60" w:type="dxa"/>
              <w:end w:w="75" w:type="dxa"/>
            </w:tcMar>
            <w:vAlign w:val="top"/>
          </w:tcPr>
          <w:p>
            <w:pPr>
              <w:spacing w:after="20"/>
            </w:pPr>
            <w:r>
              <w:rPr>
                <w:sz w:val="17"/>
              </w:rPr>
              <w:t>Sin valor numérico</w:t>
            </w:r>
          </w:p>
        </w:tc>
      </w:tr>
    </w:tbl>
    <w:p>
      <w:pPr>
        <w:spacing w:after="0"/>
      </w:pPr>
    </w:p>
    <w:p>
      <w:r>
        <w:t>La transformación 0–100 es lineal y se utiliza exclusivamente para comunicación, visualización y cálculo descriptivo. No convierte la escala ordinal en una magnitud física ni autoriza interpretar 75 como «75 % de Fiabilidad». La respuesta original 1–5 se conserva siempre en la base de datos.</w:t>
      </w:r>
    </w:p>
    <w:p>
      <w:pPr>
        <w:spacing w:before="60" w:after="100"/>
        <w:jc w:val="center"/>
      </w:pPr>
      <w:r>
        <w:rPr>
          <w:rFonts w:ascii="Aptos" w:hAnsi="Aptos"/>
          <w:b/>
          <w:sz w:val="21"/>
        </w:rPr>
        <w:t>s(r) = 100 × (r − 1) / 4 = 25 × (r − 1),  para r ∈ {1,2,3,4,5}</w:t>
      </w:r>
    </w:p>
    <w:p>
      <w:r>
        <w:t>NE expresa ausencia de experiencia suficiente. No se imputa, no recibe 0, 50 ni otro valor. La omisión o salto de una pregunta se registra separadamente como NR (no respuesta de ítem). NE y NR nunca se fusionan.</w:t>
      </w:r>
    </w:p>
    <w:p>
      <w:pPr>
        <w:pStyle w:val="Heading1"/>
      </w:pPr>
      <w:r>
        <w:t>7. Motor de Cálculo y Lectura FPV</w:t>
      </w:r>
    </w:p>
    <w:p>
      <w:r>
        <w:t>El motor opera en tres niveles: Persona, población por posición de participación y configuración F–P–V. No calcula un promedio global entre consumidor, inversionista y proveedor.</w:t>
      </w:r>
    </w:p>
    <w:p>
      <w:pPr>
        <w:pStyle w:val="Heading2"/>
      </w:pPr>
      <w:r>
        <w:t>7.1 Nivel Persona</w:t>
      </w:r>
    </w:p>
    <w:p>
      <w:r>
        <w:t>Para una Persona con respuesta válida, cada sensor toma directamente el valor normalizado correspondiente. Como existe un solo ítem nuclear por dimensión, no se realiza promedio interno.</w:t>
      </w:r>
    </w:p>
    <w:p>
      <w:pPr>
        <w:spacing w:before="60" w:after="100"/>
        <w:jc w:val="center"/>
      </w:pPr>
      <w:r>
        <w:rPr>
          <w:rFonts w:ascii="Aptos" w:hAnsi="Aptos"/>
          <w:b/>
          <w:sz w:val="21"/>
        </w:rPr>
        <w:t>F = s(rF)   ·   P = s(rP)   ·   V = s(rV)</w:t>
      </w:r>
    </w:p>
    <w:p>
      <w:r>
        <w:t>Si una dimensión es NE o NR, esa dimensión queda no calculable para la Persona. No se completa con las otras dos. El perfil individual completo existe únicamente cuando F, P y V tienen respuesta válida.</w:t>
      </w:r>
    </w:p>
    <w:p>
      <w:pPr>
        <w:pStyle w:val="Heading2"/>
      </w:pPr>
      <w:r>
        <w:t>7.2 Nivel poblacional por sensor</w:t>
      </w:r>
    </w:p>
    <w:p>
      <w:r>
        <w:t>Sea j ∈ {F,P,V} y nᵥ el número de respuestas válidas 1–5 para ese sensor dentro de una posición. El motor conserva cuatro salidas simultáneas: nivel, distribución, heterogeneidad y cobertura.</w:t>
      </w:r>
    </w:p>
    <w:p>
      <w:pPr>
        <w:pStyle w:val="Heading3"/>
      </w:pPr>
      <w:r>
        <w:t>A. Nivel descriptivo Lⱼ</w:t>
      </w:r>
    </w:p>
    <w:p>
      <w:pPr>
        <w:spacing w:before="60" w:after="100"/>
        <w:jc w:val="center"/>
      </w:pPr>
      <w:r>
        <w:rPr>
          <w:rFonts w:ascii="Aptos" w:hAnsi="Aptos"/>
          <w:b/>
          <w:sz w:val="21"/>
        </w:rPr>
        <w:t>Lⱼ = (1 / nᵥ) × Σ s(rᵢⱼ)</w:t>
      </w:r>
    </w:p>
    <w:p>
      <w:r>
        <w:t>Lⱼ toma valores entre 0 y 100. Es un estadístico descriptivo de localización y nunca se reporta solo. Se acompaña de mediana de la respuesta original y de la distribución completa p1…p5. El uso de medias sobre respuestas Likert puede ser estadísticamente robusto en muchos contextos, pero FPV conserva la evidencia ordinal para evitar que la media sea interpretada como descripción suficiente.</w:t>
      </w:r>
    </w:p>
    <w:p>
      <w:pPr>
        <w:pStyle w:val="Heading3"/>
      </w:pPr>
      <w:r>
        <w:t>B. Distribución ordinal</w:t>
      </w:r>
    </w:p>
    <w:p>
      <w:pPr>
        <w:spacing w:before="60" w:after="100"/>
        <w:jc w:val="center"/>
      </w:pPr>
      <w:r>
        <w:rPr>
          <w:rFonts w:ascii="Aptos" w:hAnsi="Aptos"/>
          <w:b/>
          <w:sz w:val="21"/>
        </w:rPr>
        <w:t>pₖ = nₖ / nᵥ,  k ∈ {1,2,3,4,5};   Σ pₖ = 1</w:t>
      </w:r>
    </w:p>
    <w:p>
      <w:r>
        <w:t>El motor guarda y presenta los cinco porcentajes. Para lectura rápida pueden mostrarse además tres bandas descriptivas: Desacuerdo = p1+p2; Neutralidad = p3; Acuerdo = p4+p5. Estas bandas no sustituyen la distribución completa.</w:t>
      </w:r>
    </w:p>
    <w:p>
      <w:pPr>
        <w:pStyle w:val="Heading3"/>
      </w:pPr>
      <w:r>
        <w:t>C. Heterogeneidad experiencial Hⱼ</w:t>
      </w:r>
    </w:p>
    <w:p>
      <w:r>
        <w:t>Para distinguir una población concentrada de una población dividida, FPV utiliza una medida basada en la distancia ordinal esperada entre dos respuestas extraídas al azar de la misma distribución. A diferencia de una entropía que solo cuenta categorías, esta medida considera que 1 y 5 están más lejos que 3 y 4.</w:t>
      </w:r>
    </w:p>
    <w:p>
      <w:pPr>
        <w:spacing w:before="60" w:after="100"/>
        <w:jc w:val="center"/>
      </w:pPr>
      <w:r>
        <w:rPr>
          <w:rFonts w:ascii="Aptos" w:hAnsi="Aptos"/>
          <w:b/>
          <w:sz w:val="21"/>
        </w:rPr>
        <w:t>Hⱼ = 50 × Σᵢ Σₖ pᵢ pₖ |i − k|</w:t>
      </w:r>
    </w:p>
    <w:p>
      <w:r>
        <w:t>Hⱼ se expresa entre 0 y 100. H = 0 cuando todas las Personas eligen la misma categoría. H = 100 en la máxima separación posible de la escala: mitad de las respuestas en 1 y mitad en 5. Esta construcción deriva de la lógica de diversidad basada en frecuencias y distancias entre categorías.</w:t>
      </w:r>
    </w:p>
    <w:p>
      <w:pPr>
        <w:spacing w:before="60" w:after="100"/>
        <w:jc w:val="center"/>
      </w:pPr>
      <w:r>
        <w:rPr>
          <w:rFonts w:ascii="Aptos" w:hAnsi="Aptos"/>
          <w:b/>
          <w:sz w:val="21"/>
        </w:rPr>
        <w:t>Consenso descriptivo Cⱼ = 100 − Hⱼ</w:t>
      </w:r>
    </w:p>
    <w:p>
      <w:r>
        <w:t>Cⱼ describe concentración de respuestas, no calidad de la relación. Un consenso de 100 puede ocurrir porque todas las Personas respondieron 1 o porque todas respondieron 5.</w:t>
      </w:r>
    </w:p>
    <w:p>
      <w:pPr>
        <w:pStyle w:val="Heading3"/>
      </w:pPr>
      <w:r>
        <w:t>D. Cobertura experiencial y participación</w:t>
      </w:r>
    </w:p>
    <w:p>
      <w:pPr>
        <w:spacing w:before="60" w:after="100"/>
        <w:jc w:val="center"/>
      </w:pPr>
      <w:r>
        <w:rPr>
          <w:rFonts w:ascii="Aptos" w:hAnsi="Aptos"/>
          <w:b/>
          <w:sz w:val="21"/>
        </w:rPr>
        <w:t>CEⱼ = 100 × nᵥ / (nᵥ + nNE)</w:t>
      </w:r>
    </w:p>
    <w:p>
      <w:r>
        <w:t>CEⱼ indica qué proporción de quienes contestaron válidamente o declararon NE posee experiencia suficiente para responder el sensor. Cuando se conoce el universo o marco elegible se reporta además la participación del levantamiento y la cobertura válida respecto del marco.</w:t>
      </w:r>
    </w:p>
    <w:p>
      <w:pPr>
        <w:spacing w:before="60" w:after="100"/>
        <w:jc w:val="center"/>
      </w:pPr>
      <w:r>
        <w:rPr>
          <w:rFonts w:ascii="Aptos" w:hAnsi="Aptos"/>
          <w:b/>
          <w:sz w:val="21"/>
        </w:rPr>
        <w:t>PR = 100 × nrespondentes / Nelegibles</w:t>
      </w:r>
    </w:p>
    <w:p>
      <w:pPr>
        <w:spacing w:before="60" w:after="100"/>
        <w:jc w:val="center"/>
      </w:pPr>
      <w:r>
        <w:rPr>
          <w:rFonts w:ascii="Aptos" w:hAnsi="Aptos"/>
          <w:b/>
          <w:sz w:val="21"/>
        </w:rPr>
        <w:t>CVⱼ = 100 × nᵥ / Nelegibles</w:t>
      </w:r>
    </w:p>
    <w:p>
      <w:r>
        <w:t>PR y CV no se interpretan por sí solas como prueba de representatividad. Una tasa de respuesta alta no elimina automáticamente sesgo de no respuesta; el diseño de muestreo y la composición de quienes responden deben documentarse.</w:t>
      </w:r>
    </w:p>
    <w:p>
      <w:pPr>
        <w:pStyle w:val="Heading2"/>
      </w:pPr>
      <w:r>
        <w:t>7.3 Configuración F–P–V con muestra emparejada</w:t>
      </w:r>
    </w:p>
    <w:p>
      <w:r>
        <w:t>Para comparar F, P y V dentro de una misma posición, el motor utiliza además una base emparejada formada únicamente por Personas con respuestas válidas en las tres dimensiones. Esto evita atribuir a la relación una brecha que en realidad proviene de haber calculado cada sensor con grupos distintos.</w:t>
      </w:r>
    </w:p>
    <w:p>
      <w:pPr>
        <w:spacing w:before="60" w:after="100"/>
        <w:jc w:val="center"/>
      </w:pPr>
      <w:r>
        <w:rPr>
          <w:rFonts w:ascii="Aptos" w:hAnsi="Aptos"/>
          <w:b/>
          <w:sz w:val="21"/>
        </w:rPr>
        <w:t>Ncfg = número de Personas con rF, rP y rV válidos</w:t>
      </w:r>
    </w:p>
    <w:p>
      <w:r>
        <w:t>Sobre Ncfg se recalculan LF*, LP* y LV* para la lectura configuracional. Las estimaciones marginales por sensor continúan disponibles con toda la evidencia válida.</w:t>
      </w:r>
    </w:p>
    <w:p>
      <w:pPr>
        <w:spacing w:before="60" w:after="100"/>
        <w:jc w:val="center"/>
      </w:pPr>
      <w:r>
        <w:rPr>
          <w:rFonts w:ascii="Aptos" w:hAnsi="Aptos"/>
          <w:b/>
          <w:sz w:val="21"/>
        </w:rPr>
        <w:t>Brecha configuracional G = max(LF*, LP*, LV*) − min(LF*, LP*, LV*)</w:t>
      </w:r>
    </w:p>
    <w:p>
      <w:r>
        <w:t>G mide desbalance interno entre dimensiones, no deterioro. El motor identifica también la dimensión de menor nivel y la de mayor nivel. No calcula un promedio compensatorio F+P+V: una dimensión alta no debe ocultar otra deteriorada.</w:t>
      </w:r>
    </w:p>
    <w:p>
      <w:pPr>
        <w:pStyle w:val="Heading1"/>
      </w:pPr>
      <w:r>
        <w:t>8. Suficiencia de evidencia e incertidumbre</w:t>
      </w:r>
    </w:p>
    <w:p>
      <w:r>
        <w:t>FPV separa disponibilidad de datos, precisión estadística y capacidad de inferencia. No fija antes del piloto un tamaño de muestra universal ni un porcentaje mágico de respuesta. El estatus de la lectura depende del diseño real del levantamiento.</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E8EEF5"/>
            <w:tcMar>
              <w:top w:w="60" w:type="dxa"/>
              <w:start w:w="75" w:type="dxa"/>
              <w:bottom w:w="60" w:type="dxa"/>
              <w:end w:w="75" w:type="dxa"/>
            </w:tcMar>
            <w:vAlign w:val="center"/>
          </w:tcPr>
          <w:p>
            <w:r>
              <w:rPr>
                <w:b/>
                <w:sz w:val="17"/>
              </w:rPr>
              <w:t>Estatus</w:t>
            </w:r>
          </w:p>
        </w:tc>
        <w:tc>
          <w:tcPr>
            <w:tcW w:type="dxa" w:w="4320"/>
            <w:shd w:fill="E8EEF5"/>
            <w:tcMar>
              <w:top w:w="60" w:type="dxa"/>
              <w:start w:w="75" w:type="dxa"/>
              <w:bottom w:w="60" w:type="dxa"/>
              <w:end w:w="75" w:type="dxa"/>
            </w:tcMar>
            <w:vAlign w:val="center"/>
          </w:tcPr>
          <w:p>
            <w:r>
              <w:rPr>
                <w:b/>
                <w:sz w:val="17"/>
              </w:rPr>
              <w:t>Regla del motor</w:t>
            </w:r>
          </w:p>
        </w:tc>
        <w:tc>
          <w:tcPr>
            <w:tcW w:type="dxa" w:w="4392"/>
            <w:shd w:fill="E8EEF5"/>
            <w:tcMar>
              <w:top w:w="60" w:type="dxa"/>
              <w:start w:w="75" w:type="dxa"/>
              <w:bottom w:w="60" w:type="dxa"/>
              <w:end w:w="75" w:type="dxa"/>
            </w:tcMar>
            <w:vAlign w:val="center"/>
          </w:tcPr>
          <w:p>
            <w:r>
              <w:rPr>
                <w:b/>
                <w:sz w:val="17"/>
              </w:rPr>
              <w:t>Alcance permitido</w:t>
            </w:r>
          </w:p>
        </w:tc>
      </w:tr>
      <w:tr>
        <w:tc>
          <w:tcPr>
            <w:tcW w:type="dxa" w:w="2232"/>
            <w:tcMar>
              <w:top w:w="60" w:type="dxa"/>
              <w:start w:w="75" w:type="dxa"/>
              <w:bottom w:w="60" w:type="dxa"/>
              <w:end w:w="75" w:type="dxa"/>
            </w:tcMar>
            <w:vAlign w:val="top"/>
          </w:tcPr>
          <w:p>
            <w:pPr>
              <w:spacing w:after="20"/>
            </w:pPr>
            <w:r>
              <w:rPr>
                <w:sz w:val="17"/>
              </w:rPr>
              <w:t>No calculable</w:t>
            </w:r>
          </w:p>
        </w:tc>
        <w:tc>
          <w:tcPr>
            <w:tcW w:type="dxa" w:w="4320"/>
            <w:tcMar>
              <w:top w:w="60" w:type="dxa"/>
              <w:start w:w="75" w:type="dxa"/>
              <w:bottom w:w="60" w:type="dxa"/>
              <w:end w:w="75" w:type="dxa"/>
            </w:tcMar>
            <w:vAlign w:val="top"/>
          </w:tcPr>
          <w:p>
            <w:pPr>
              <w:spacing w:after="20"/>
            </w:pPr>
            <w:r>
              <w:rPr>
                <w:sz w:val="17"/>
              </w:rPr>
              <w:t>nᵥ = 0 para el sensor.</w:t>
            </w:r>
          </w:p>
        </w:tc>
        <w:tc>
          <w:tcPr>
            <w:tcW w:type="dxa" w:w="4392"/>
            <w:tcMar>
              <w:top w:w="60" w:type="dxa"/>
              <w:start w:w="75" w:type="dxa"/>
              <w:bottom w:w="60" w:type="dxa"/>
              <w:end w:w="75" w:type="dxa"/>
            </w:tcMar>
            <w:vAlign w:val="top"/>
          </w:tcPr>
          <w:p>
            <w:pPr>
              <w:spacing w:after="20"/>
            </w:pPr>
            <w:r>
              <w:rPr>
                <w:sz w:val="17"/>
              </w:rPr>
              <w:t>No se produce nivel.</w:t>
            </w:r>
          </w:p>
        </w:tc>
      </w:tr>
      <w:tr>
        <w:tc>
          <w:tcPr>
            <w:tcW w:type="dxa" w:w="2232"/>
            <w:tcMar>
              <w:top w:w="60" w:type="dxa"/>
              <w:start w:w="75" w:type="dxa"/>
              <w:bottom w:w="60" w:type="dxa"/>
              <w:end w:w="75" w:type="dxa"/>
            </w:tcMar>
            <w:vAlign w:val="top"/>
          </w:tcPr>
          <w:p>
            <w:pPr>
              <w:spacing w:after="20"/>
            </w:pPr>
            <w:r>
              <w:rPr>
                <w:sz w:val="17"/>
              </w:rPr>
              <w:t>Descriptivo</w:t>
            </w:r>
          </w:p>
        </w:tc>
        <w:tc>
          <w:tcPr>
            <w:tcW w:type="dxa" w:w="4320"/>
            <w:tcMar>
              <w:top w:w="60" w:type="dxa"/>
              <w:start w:w="75" w:type="dxa"/>
              <w:bottom w:w="60" w:type="dxa"/>
              <w:end w:w="75" w:type="dxa"/>
            </w:tcMar>
            <w:vAlign w:val="top"/>
          </w:tcPr>
          <w:p>
            <w:pPr>
              <w:spacing w:after="20"/>
            </w:pPr>
            <w:r>
              <w:rPr>
                <w:sz w:val="17"/>
              </w:rPr>
              <w:t>Existe al menos una respuesta válida.</w:t>
            </w:r>
          </w:p>
        </w:tc>
        <w:tc>
          <w:tcPr>
            <w:tcW w:type="dxa" w:w="4392"/>
            <w:tcMar>
              <w:top w:w="60" w:type="dxa"/>
              <w:start w:w="75" w:type="dxa"/>
              <w:bottom w:w="60" w:type="dxa"/>
              <w:end w:w="75" w:type="dxa"/>
            </w:tcMar>
            <w:vAlign w:val="top"/>
          </w:tcPr>
          <w:p>
            <w:pPr>
              <w:spacing w:after="20"/>
            </w:pPr>
            <w:r>
              <w:rPr>
                <w:sz w:val="17"/>
              </w:rPr>
              <w:t>Describe únicamente la evidencia observada.</w:t>
            </w:r>
          </w:p>
        </w:tc>
      </w:tr>
      <w:tr>
        <w:tc>
          <w:tcPr>
            <w:tcW w:type="dxa" w:w="2232"/>
            <w:tcMar>
              <w:top w:w="60" w:type="dxa"/>
              <w:start w:w="75" w:type="dxa"/>
              <w:bottom w:w="60" w:type="dxa"/>
              <w:end w:w="75" w:type="dxa"/>
            </w:tcMar>
            <w:vAlign w:val="top"/>
          </w:tcPr>
          <w:p>
            <w:pPr>
              <w:spacing w:after="20"/>
            </w:pPr>
            <w:r>
              <w:rPr>
                <w:sz w:val="17"/>
              </w:rPr>
              <w:t>Censal / marco completo</w:t>
            </w:r>
          </w:p>
        </w:tc>
        <w:tc>
          <w:tcPr>
            <w:tcW w:type="dxa" w:w="4320"/>
            <w:tcMar>
              <w:top w:w="60" w:type="dxa"/>
              <w:start w:w="75" w:type="dxa"/>
              <w:bottom w:w="60" w:type="dxa"/>
              <w:end w:w="75" w:type="dxa"/>
            </w:tcMar>
            <w:vAlign w:val="top"/>
          </w:tcPr>
          <w:p>
            <w:pPr>
              <w:spacing w:after="20"/>
            </w:pPr>
            <w:r>
              <w:rPr>
                <w:sz w:val="17"/>
              </w:rPr>
              <w:t>Se observa de forma válida una proporción documentada del universo elegible.</w:t>
            </w:r>
          </w:p>
        </w:tc>
        <w:tc>
          <w:tcPr>
            <w:tcW w:type="dxa" w:w="4392"/>
            <w:tcMar>
              <w:top w:w="60" w:type="dxa"/>
              <w:start w:w="75" w:type="dxa"/>
              <w:bottom w:w="60" w:type="dxa"/>
              <w:end w:w="75" w:type="dxa"/>
            </w:tcMar>
            <w:vAlign w:val="top"/>
          </w:tcPr>
          <w:p>
            <w:pPr>
              <w:spacing w:after="20"/>
            </w:pPr>
            <w:r>
              <w:rPr>
                <w:sz w:val="17"/>
              </w:rPr>
              <w:t>Describe el universo observado; debe mostrarse CV y no respuesta.</w:t>
            </w:r>
          </w:p>
        </w:tc>
      </w:tr>
      <w:tr>
        <w:tc>
          <w:tcPr>
            <w:tcW w:type="dxa" w:w="2232"/>
            <w:tcMar>
              <w:top w:w="60" w:type="dxa"/>
              <w:start w:w="75" w:type="dxa"/>
              <w:bottom w:w="60" w:type="dxa"/>
              <w:end w:w="75" w:type="dxa"/>
            </w:tcMar>
            <w:vAlign w:val="top"/>
          </w:tcPr>
          <w:p>
            <w:pPr>
              <w:spacing w:after="20"/>
            </w:pPr>
            <w:r>
              <w:rPr>
                <w:sz w:val="17"/>
              </w:rPr>
              <w:t>Inferencial</w:t>
            </w:r>
          </w:p>
        </w:tc>
        <w:tc>
          <w:tcPr>
            <w:tcW w:type="dxa" w:w="4320"/>
            <w:tcMar>
              <w:top w:w="60" w:type="dxa"/>
              <w:start w:w="75" w:type="dxa"/>
              <w:bottom w:w="60" w:type="dxa"/>
              <w:end w:w="75" w:type="dxa"/>
            </w:tcMar>
            <w:vAlign w:val="top"/>
          </w:tcPr>
          <w:p>
            <w:pPr>
              <w:spacing w:after="20"/>
            </w:pPr>
            <w:r>
              <w:rPr>
                <w:sz w:val="17"/>
              </w:rPr>
              <w:t>Muestra probabilística o diseño con modelo inferencial explícito y documentado.</w:t>
            </w:r>
          </w:p>
        </w:tc>
        <w:tc>
          <w:tcPr>
            <w:tcW w:type="dxa" w:w="4392"/>
            <w:tcMar>
              <w:top w:w="60" w:type="dxa"/>
              <w:start w:w="75" w:type="dxa"/>
              <w:bottom w:w="60" w:type="dxa"/>
              <w:end w:w="75" w:type="dxa"/>
            </w:tcMar>
            <w:vAlign w:val="top"/>
          </w:tcPr>
          <w:p>
            <w:pPr>
              <w:spacing w:after="20"/>
            </w:pPr>
            <w:r>
              <w:rPr>
                <w:sz w:val="17"/>
              </w:rPr>
              <w:t>Puede añadir intervalos de incertidumbre y generalización según el diseño.</w:t>
            </w:r>
          </w:p>
        </w:tc>
      </w:tr>
    </w:tbl>
    <w:p>
      <w:pPr>
        <w:spacing w:after="0"/>
      </w:pPr>
    </w:p>
    <w:p>
      <w:r>
        <w:t>En muestras probabilísticas, el motor puede calcular un intervalo de confianza de 95 % para Lⱼ mediante remuestreo bootstrap apropiado al diseño, o mediante procedimientos de encuesta que respeten estratos, conglomerados y ponderaciones. En muestras no probabilísticas no se muestra un margen de error convencional salvo que exista un modelo explícito, validado y documentado que lo sustente.</w:t>
      </w:r>
    </w:p>
    <w:p>
      <w:r>
        <w:t>Los intervalos son información sobre incertidumbre de estimación, no umbrales de validez del constructo. Los criterios operativos de suficiencia para despliegue empresarial deberán calibrarse en el piloto y quedar versionados como parámetros del motor, no codificados como verdades conceptuales.</w:t>
      </w:r>
    </w:p>
    <w:p>
      <w:pPr>
        <w:pStyle w:val="Heading1"/>
      </w:pPr>
      <w:r>
        <w:t>9. Ponderación, segmentación y tratamiento de muestras</w:t>
      </w:r>
    </w:p>
    <w:p>
      <w:r>
        <w:t>El cálculo por defecto es no ponderado. Solo se aplican pesos cuando el diseño de muestreo, la probabilidad de selección o un procedimiento de calibración documentado los justifica. Si existen pesos wᵢ, el nivel y la distribución se calculan con los pesos normalizados sobre respuestas válidas.</w:t>
      </w:r>
    </w:p>
    <w:p>
      <w:pPr>
        <w:spacing w:before="60" w:after="100"/>
        <w:jc w:val="center"/>
      </w:pPr>
      <w:r>
        <w:rPr>
          <w:rFonts w:ascii="Aptos" w:hAnsi="Aptos"/>
          <w:b/>
          <w:sz w:val="21"/>
        </w:rPr>
        <w:t>Lⱼ,w = Σ wᵢ s(rᵢⱼ) / Σ wᵢ</w:t>
      </w:r>
    </w:p>
    <w:p>
      <w:pPr>
        <w:spacing w:before="60" w:after="100"/>
        <w:jc w:val="center"/>
      </w:pPr>
      <w:r>
        <w:rPr>
          <w:rFonts w:ascii="Aptos" w:hAnsi="Aptos"/>
          <w:b/>
          <w:sz w:val="21"/>
        </w:rPr>
        <w:t>pₖ,w = Σ wᵢ I(rᵢⱼ = k) / Σ wᵢ</w:t>
      </w:r>
    </w:p>
    <w:p>
      <w:r>
        <w:t>La heterogeneidad se calcula entonces sobre pₖ,w. Los resultados ponderados deben conservar también n no ponderado y metodología de ponderación.</w:t>
      </w:r>
    </w:p>
    <w:p>
      <w:r>
        <w:t>La segmentación por antigüedad, producto, canal, región, tipo de proveedor u otra variable solo se ejecuta cuando tenga sentido sustantivo y exista evidencia suficiente. El motor no atribuye causalidad a diferencias entre segmentos.</w:t>
      </w:r>
    </w:p>
    <w:p>
      <w:pPr>
        <w:pStyle w:val="Heading1"/>
      </w:pPr>
      <w:r>
        <w:t>10. Pruebas de estrés del motor</w:t>
      </w:r>
    </w:p>
    <w:p>
      <w:r>
        <w:t>Se simularon distribuciones con igual promedio y formas distintas para verificar que el motor no colapse realidades diferentes.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2232"/>
            <w:shd w:fill="E8EEF5"/>
            <w:tcMar>
              <w:top w:w="60" w:type="dxa"/>
              <w:start w:w="75" w:type="dxa"/>
              <w:bottom w:w="60" w:type="dxa"/>
              <w:end w:w="75" w:type="dxa"/>
            </w:tcMar>
            <w:vAlign w:val="center"/>
          </w:tcPr>
          <w:p>
            <w:r>
              <w:rPr>
                <w:b/>
                <w:sz w:val="16"/>
              </w:rPr>
              <w:t>Escenario</w:t>
            </w:r>
          </w:p>
        </w:tc>
        <w:tc>
          <w:tcPr>
            <w:tcW w:type="dxa" w:w="2232"/>
            <w:shd w:fill="E8EEF5"/>
            <w:tcMar>
              <w:top w:w="60" w:type="dxa"/>
              <w:start w:w="75" w:type="dxa"/>
              <w:bottom w:w="60" w:type="dxa"/>
              <w:end w:w="75" w:type="dxa"/>
            </w:tcMar>
            <w:vAlign w:val="center"/>
          </w:tcPr>
          <w:p>
            <w:r>
              <w:rPr>
                <w:b/>
                <w:sz w:val="16"/>
              </w:rPr>
              <w:t>Respuestas</w:t>
            </w:r>
          </w:p>
        </w:tc>
        <w:tc>
          <w:tcPr>
            <w:tcW w:type="dxa" w:w="1152"/>
            <w:shd w:fill="E8EEF5"/>
            <w:tcMar>
              <w:top w:w="60" w:type="dxa"/>
              <w:start w:w="75" w:type="dxa"/>
              <w:bottom w:w="60" w:type="dxa"/>
              <w:end w:w="75" w:type="dxa"/>
            </w:tcMar>
            <w:vAlign w:val="center"/>
          </w:tcPr>
          <w:p>
            <w:r>
              <w:rPr>
                <w:b/>
                <w:sz w:val="16"/>
              </w:rPr>
              <w:t>Nivel L</w:t>
            </w:r>
          </w:p>
        </w:tc>
        <w:tc>
          <w:tcPr>
            <w:tcW w:type="dxa" w:w="1152"/>
            <w:shd w:fill="E8EEF5"/>
            <w:tcMar>
              <w:top w:w="60" w:type="dxa"/>
              <w:start w:w="75" w:type="dxa"/>
              <w:bottom w:w="60" w:type="dxa"/>
              <w:end w:w="75" w:type="dxa"/>
            </w:tcMar>
            <w:vAlign w:val="center"/>
          </w:tcPr>
          <w:p>
            <w:r>
              <w:rPr>
                <w:b/>
                <w:sz w:val="16"/>
              </w:rPr>
              <w:t>Mediana</w:t>
            </w:r>
          </w:p>
        </w:tc>
        <w:tc>
          <w:tcPr>
            <w:tcW w:type="dxa" w:w="1656"/>
            <w:shd w:fill="E8EEF5"/>
            <w:tcMar>
              <w:top w:w="60" w:type="dxa"/>
              <w:start w:w="75" w:type="dxa"/>
              <w:bottom w:w="60" w:type="dxa"/>
              <w:end w:w="75" w:type="dxa"/>
            </w:tcMar>
            <w:vAlign w:val="center"/>
          </w:tcPr>
          <w:p>
            <w:r>
              <w:rPr>
                <w:b/>
                <w:sz w:val="16"/>
              </w:rPr>
              <w:t>Heterogeneidad H</w:t>
            </w:r>
          </w:p>
        </w:tc>
        <w:tc>
          <w:tcPr>
            <w:tcW w:type="dxa" w:w="1296"/>
            <w:shd w:fill="E8EEF5"/>
            <w:tcMar>
              <w:top w:w="60" w:type="dxa"/>
              <w:start w:w="75" w:type="dxa"/>
              <w:bottom w:w="60" w:type="dxa"/>
              <w:end w:w="75" w:type="dxa"/>
            </w:tcMar>
            <w:vAlign w:val="center"/>
          </w:tcPr>
          <w:p>
            <w:r>
              <w:rPr>
                <w:b/>
                <w:sz w:val="16"/>
              </w:rPr>
              <w:t>Consenso C</w:t>
            </w:r>
          </w:p>
        </w:tc>
        <w:tc>
          <w:tcPr>
            <w:tcW w:type="dxa" w:w="3456"/>
            <w:shd w:fill="E8EEF5"/>
            <w:tcMar>
              <w:top w:w="60" w:type="dxa"/>
              <w:start w:w="75" w:type="dxa"/>
              <w:bottom w:w="60" w:type="dxa"/>
              <w:end w:w="75" w:type="dxa"/>
            </w:tcMar>
            <w:vAlign w:val="center"/>
          </w:tcPr>
          <w:p>
            <w:r>
              <w:rPr>
                <w:b/>
                <w:sz w:val="16"/>
              </w:rPr>
              <w:t>Lectura</w:t>
            </w:r>
          </w:p>
        </w:tc>
      </w:tr>
      <w:tr>
        <w:tc>
          <w:tcPr>
            <w:tcW w:type="dxa" w:w="2232"/>
            <w:tcMar>
              <w:top w:w="60" w:type="dxa"/>
              <w:start w:w="75" w:type="dxa"/>
              <w:bottom w:w="60" w:type="dxa"/>
              <w:end w:w="75" w:type="dxa"/>
            </w:tcMar>
            <w:vAlign w:val="top"/>
          </w:tcPr>
          <w:p>
            <w:pPr>
              <w:spacing w:after="20"/>
            </w:pPr>
            <w:r>
              <w:rPr>
                <w:sz w:val="16"/>
              </w:rPr>
              <w:t>Neutralidad uniforme</w:t>
            </w:r>
          </w:p>
        </w:tc>
        <w:tc>
          <w:tcPr>
            <w:tcW w:type="dxa" w:w="2232"/>
            <w:tcMar>
              <w:top w:w="60" w:type="dxa"/>
              <w:start w:w="75" w:type="dxa"/>
              <w:bottom w:w="60" w:type="dxa"/>
              <w:end w:w="75" w:type="dxa"/>
            </w:tcMar>
            <w:vAlign w:val="top"/>
          </w:tcPr>
          <w:p>
            <w:pPr>
              <w:spacing w:after="20"/>
            </w:pPr>
            <w:r>
              <w:rPr>
                <w:sz w:val="16"/>
              </w:rPr>
              <w:t>3,3,3,3,3</w:t>
            </w:r>
          </w:p>
        </w:tc>
        <w:tc>
          <w:tcPr>
            <w:tcW w:type="dxa" w:w="1152"/>
            <w:tcMar>
              <w:top w:w="60" w:type="dxa"/>
              <w:start w:w="75" w:type="dxa"/>
              <w:bottom w:w="60" w:type="dxa"/>
              <w:end w:w="75" w:type="dxa"/>
            </w:tcMar>
            <w:vAlign w:val="top"/>
          </w:tcPr>
          <w:p>
            <w:pPr>
              <w:spacing w:after="20"/>
            </w:pPr>
            <w:r>
              <w:rPr>
                <w:sz w:val="16"/>
              </w:rPr>
              <w:t>50</w:t>
            </w:r>
          </w:p>
        </w:tc>
        <w:tc>
          <w:tcPr>
            <w:tcW w:type="dxa" w:w="1152"/>
            <w:tcMar>
              <w:top w:w="60" w:type="dxa"/>
              <w:start w:w="75" w:type="dxa"/>
              <w:bottom w:w="60" w:type="dxa"/>
              <w:end w:w="75" w:type="dxa"/>
            </w:tcMar>
            <w:vAlign w:val="top"/>
          </w:tcPr>
          <w:p>
            <w:pPr>
              <w:spacing w:after="20"/>
            </w:pPr>
            <w:r>
              <w:rPr>
                <w:sz w:val="16"/>
              </w:rPr>
              <w:t>3</w:t>
            </w:r>
          </w:p>
        </w:tc>
        <w:tc>
          <w:tcPr>
            <w:tcW w:type="dxa" w:w="1656"/>
            <w:tcMar>
              <w:top w:w="60" w:type="dxa"/>
              <w:start w:w="75" w:type="dxa"/>
              <w:bottom w:w="60" w:type="dxa"/>
              <w:end w:w="75" w:type="dxa"/>
            </w:tcMar>
            <w:vAlign w:val="top"/>
          </w:tcPr>
          <w:p>
            <w:pPr>
              <w:spacing w:after="20"/>
            </w:pPr>
            <w:r>
              <w:rPr>
                <w:sz w:val="16"/>
              </w:rPr>
              <w:t>0</w:t>
            </w:r>
          </w:p>
        </w:tc>
        <w:tc>
          <w:tcPr>
            <w:tcW w:type="dxa" w:w="1296"/>
            <w:tcMar>
              <w:top w:w="60" w:type="dxa"/>
              <w:start w:w="75" w:type="dxa"/>
              <w:bottom w:w="60" w:type="dxa"/>
              <w:end w:w="75" w:type="dxa"/>
            </w:tcMar>
            <w:vAlign w:val="top"/>
          </w:tcPr>
          <w:p>
            <w:pPr>
              <w:spacing w:after="20"/>
            </w:pPr>
            <w:r>
              <w:rPr>
                <w:sz w:val="16"/>
              </w:rPr>
              <w:t>100</w:t>
            </w:r>
          </w:p>
        </w:tc>
        <w:tc>
          <w:tcPr>
            <w:tcW w:type="dxa" w:w="3456"/>
            <w:tcMar>
              <w:top w:w="60" w:type="dxa"/>
              <w:start w:w="75" w:type="dxa"/>
              <w:bottom w:w="60" w:type="dxa"/>
              <w:end w:w="75" w:type="dxa"/>
            </w:tcMar>
            <w:vAlign w:val="top"/>
          </w:tcPr>
          <w:p>
            <w:pPr>
              <w:spacing w:after="20"/>
            </w:pPr>
            <w:r>
              <w:rPr>
                <w:sz w:val="16"/>
              </w:rPr>
              <w:t>Experiencia concentrada en neutralidad.</w:t>
            </w:r>
          </w:p>
        </w:tc>
      </w:tr>
      <w:tr>
        <w:tc>
          <w:tcPr>
            <w:tcW w:type="dxa" w:w="2232"/>
            <w:tcMar>
              <w:top w:w="60" w:type="dxa"/>
              <w:start w:w="75" w:type="dxa"/>
              <w:bottom w:w="60" w:type="dxa"/>
              <w:end w:w="75" w:type="dxa"/>
            </w:tcMar>
            <w:vAlign w:val="top"/>
          </w:tcPr>
          <w:p>
            <w:pPr>
              <w:spacing w:after="20"/>
            </w:pPr>
            <w:r>
              <w:rPr>
                <w:sz w:val="16"/>
              </w:rPr>
              <w:t>Extremos enfrentados</w:t>
            </w:r>
          </w:p>
        </w:tc>
        <w:tc>
          <w:tcPr>
            <w:tcW w:type="dxa" w:w="2232"/>
            <w:tcMar>
              <w:top w:w="60" w:type="dxa"/>
              <w:start w:w="75" w:type="dxa"/>
              <w:bottom w:w="60" w:type="dxa"/>
              <w:end w:w="75" w:type="dxa"/>
            </w:tcMar>
            <w:vAlign w:val="top"/>
          </w:tcPr>
          <w:p>
            <w:pPr>
              <w:spacing w:after="20"/>
            </w:pPr>
            <w:r>
              <w:rPr>
                <w:sz w:val="16"/>
              </w:rPr>
              <w:t>1,1,5,5</w:t>
            </w:r>
          </w:p>
        </w:tc>
        <w:tc>
          <w:tcPr>
            <w:tcW w:type="dxa" w:w="1152"/>
            <w:tcMar>
              <w:top w:w="60" w:type="dxa"/>
              <w:start w:w="75" w:type="dxa"/>
              <w:bottom w:w="60" w:type="dxa"/>
              <w:end w:w="75" w:type="dxa"/>
            </w:tcMar>
            <w:vAlign w:val="top"/>
          </w:tcPr>
          <w:p>
            <w:pPr>
              <w:spacing w:after="20"/>
            </w:pPr>
            <w:r>
              <w:rPr>
                <w:sz w:val="16"/>
              </w:rPr>
              <w:t>50</w:t>
            </w:r>
          </w:p>
        </w:tc>
        <w:tc>
          <w:tcPr>
            <w:tcW w:type="dxa" w:w="1152"/>
            <w:tcMar>
              <w:top w:w="60" w:type="dxa"/>
              <w:start w:w="75" w:type="dxa"/>
              <w:bottom w:w="60" w:type="dxa"/>
              <w:end w:w="75" w:type="dxa"/>
            </w:tcMar>
            <w:vAlign w:val="top"/>
          </w:tcPr>
          <w:p>
            <w:pPr>
              <w:spacing w:after="20"/>
            </w:pPr>
            <w:r>
              <w:rPr>
                <w:sz w:val="16"/>
              </w:rPr>
              <w:t>3</w:t>
            </w:r>
          </w:p>
        </w:tc>
        <w:tc>
          <w:tcPr>
            <w:tcW w:type="dxa" w:w="1656"/>
            <w:tcMar>
              <w:top w:w="60" w:type="dxa"/>
              <w:start w:w="75" w:type="dxa"/>
              <w:bottom w:w="60" w:type="dxa"/>
              <w:end w:w="75" w:type="dxa"/>
            </w:tcMar>
            <w:vAlign w:val="top"/>
          </w:tcPr>
          <w:p>
            <w:pPr>
              <w:spacing w:after="20"/>
            </w:pPr>
            <w:r>
              <w:rPr>
                <w:sz w:val="16"/>
              </w:rPr>
              <w:t>100</w:t>
            </w:r>
          </w:p>
        </w:tc>
        <w:tc>
          <w:tcPr>
            <w:tcW w:type="dxa" w:w="1296"/>
            <w:tcMar>
              <w:top w:w="60" w:type="dxa"/>
              <w:start w:w="75" w:type="dxa"/>
              <w:bottom w:w="60" w:type="dxa"/>
              <w:end w:w="75" w:type="dxa"/>
            </w:tcMar>
            <w:vAlign w:val="top"/>
          </w:tcPr>
          <w:p>
            <w:pPr>
              <w:spacing w:after="20"/>
            </w:pPr>
            <w:r>
              <w:rPr>
                <w:sz w:val="16"/>
              </w:rPr>
              <w:t>0</w:t>
            </w:r>
          </w:p>
        </w:tc>
        <w:tc>
          <w:tcPr>
            <w:tcW w:type="dxa" w:w="3456"/>
            <w:tcMar>
              <w:top w:w="60" w:type="dxa"/>
              <w:start w:w="75" w:type="dxa"/>
              <w:bottom w:w="60" w:type="dxa"/>
              <w:end w:w="75" w:type="dxa"/>
            </w:tcMar>
            <w:vAlign w:val="top"/>
          </w:tcPr>
          <w:p>
            <w:pPr>
              <w:spacing w:after="20"/>
            </w:pPr>
            <w:r>
              <w:rPr>
                <w:sz w:val="16"/>
              </w:rPr>
              <w:t>Mismo nivel, pero máxima división.</w:t>
            </w:r>
          </w:p>
        </w:tc>
      </w:tr>
      <w:tr>
        <w:tc>
          <w:tcPr>
            <w:tcW w:type="dxa" w:w="2232"/>
            <w:tcMar>
              <w:top w:w="60" w:type="dxa"/>
              <w:start w:w="75" w:type="dxa"/>
              <w:bottom w:w="60" w:type="dxa"/>
              <w:end w:w="75" w:type="dxa"/>
            </w:tcMar>
            <w:vAlign w:val="top"/>
          </w:tcPr>
          <w:p>
            <w:pPr>
              <w:spacing w:after="20"/>
            </w:pPr>
            <w:r>
              <w:rPr>
                <w:sz w:val="16"/>
              </w:rPr>
              <w:t>Cercanía 3–4</w:t>
            </w:r>
          </w:p>
        </w:tc>
        <w:tc>
          <w:tcPr>
            <w:tcW w:type="dxa" w:w="2232"/>
            <w:tcMar>
              <w:top w:w="60" w:type="dxa"/>
              <w:start w:w="75" w:type="dxa"/>
              <w:bottom w:w="60" w:type="dxa"/>
              <w:end w:w="75" w:type="dxa"/>
            </w:tcMar>
            <w:vAlign w:val="top"/>
          </w:tcPr>
          <w:p>
            <w:pPr>
              <w:spacing w:after="20"/>
            </w:pPr>
            <w:r>
              <w:rPr>
                <w:sz w:val="16"/>
              </w:rPr>
              <w:t>3,3,4,4</w:t>
            </w:r>
          </w:p>
        </w:tc>
        <w:tc>
          <w:tcPr>
            <w:tcW w:type="dxa" w:w="1152"/>
            <w:tcMar>
              <w:top w:w="60" w:type="dxa"/>
              <w:start w:w="75" w:type="dxa"/>
              <w:bottom w:w="60" w:type="dxa"/>
              <w:end w:w="75" w:type="dxa"/>
            </w:tcMar>
            <w:vAlign w:val="top"/>
          </w:tcPr>
          <w:p>
            <w:pPr>
              <w:spacing w:after="20"/>
            </w:pPr>
            <w:r>
              <w:rPr>
                <w:sz w:val="16"/>
              </w:rPr>
              <w:t>62.5</w:t>
            </w:r>
          </w:p>
        </w:tc>
        <w:tc>
          <w:tcPr>
            <w:tcW w:type="dxa" w:w="1152"/>
            <w:tcMar>
              <w:top w:w="60" w:type="dxa"/>
              <w:start w:w="75" w:type="dxa"/>
              <w:bottom w:w="60" w:type="dxa"/>
              <w:end w:w="75" w:type="dxa"/>
            </w:tcMar>
            <w:vAlign w:val="top"/>
          </w:tcPr>
          <w:p>
            <w:pPr>
              <w:spacing w:after="20"/>
            </w:pPr>
            <w:r>
              <w:rPr>
                <w:sz w:val="16"/>
              </w:rPr>
              <w:t>3.5</w:t>
            </w:r>
          </w:p>
        </w:tc>
        <w:tc>
          <w:tcPr>
            <w:tcW w:type="dxa" w:w="1656"/>
            <w:tcMar>
              <w:top w:w="60" w:type="dxa"/>
              <w:start w:w="75" w:type="dxa"/>
              <w:bottom w:w="60" w:type="dxa"/>
              <w:end w:w="75" w:type="dxa"/>
            </w:tcMar>
            <w:vAlign w:val="top"/>
          </w:tcPr>
          <w:p>
            <w:pPr>
              <w:spacing w:after="20"/>
            </w:pPr>
            <w:r>
              <w:rPr>
                <w:sz w:val="16"/>
              </w:rPr>
              <w:t>25</w:t>
            </w:r>
          </w:p>
        </w:tc>
        <w:tc>
          <w:tcPr>
            <w:tcW w:type="dxa" w:w="1296"/>
            <w:tcMar>
              <w:top w:w="60" w:type="dxa"/>
              <w:start w:w="75" w:type="dxa"/>
              <w:bottom w:w="60" w:type="dxa"/>
              <w:end w:w="75" w:type="dxa"/>
            </w:tcMar>
            <w:vAlign w:val="top"/>
          </w:tcPr>
          <w:p>
            <w:pPr>
              <w:spacing w:after="20"/>
            </w:pPr>
            <w:r>
              <w:rPr>
                <w:sz w:val="16"/>
              </w:rPr>
              <w:t>75</w:t>
            </w:r>
          </w:p>
        </w:tc>
        <w:tc>
          <w:tcPr>
            <w:tcW w:type="dxa" w:w="3456"/>
            <w:tcMar>
              <w:top w:w="60" w:type="dxa"/>
              <w:start w:w="75" w:type="dxa"/>
              <w:bottom w:w="60" w:type="dxa"/>
              <w:end w:w="75" w:type="dxa"/>
            </w:tcMar>
            <w:vAlign w:val="top"/>
          </w:tcPr>
          <w:p>
            <w:pPr>
              <w:spacing w:after="20"/>
            </w:pPr>
            <w:r>
              <w:rPr>
                <w:sz w:val="16"/>
              </w:rPr>
              <w:t>Variación acotada entre categorías vecinas.</w:t>
            </w:r>
          </w:p>
        </w:tc>
      </w:tr>
      <w:tr>
        <w:tc>
          <w:tcPr>
            <w:tcW w:type="dxa" w:w="2232"/>
            <w:tcMar>
              <w:top w:w="60" w:type="dxa"/>
              <w:start w:w="75" w:type="dxa"/>
              <w:bottom w:w="60" w:type="dxa"/>
              <w:end w:w="75" w:type="dxa"/>
            </w:tcMar>
            <w:vAlign w:val="top"/>
          </w:tcPr>
          <w:p>
            <w:pPr>
              <w:spacing w:after="20"/>
            </w:pPr>
            <w:r>
              <w:rPr>
                <w:sz w:val="16"/>
              </w:rPr>
              <w:t>Máximo favorable</w:t>
            </w:r>
          </w:p>
        </w:tc>
        <w:tc>
          <w:tcPr>
            <w:tcW w:type="dxa" w:w="2232"/>
            <w:tcMar>
              <w:top w:w="60" w:type="dxa"/>
              <w:start w:w="75" w:type="dxa"/>
              <w:bottom w:w="60" w:type="dxa"/>
              <w:end w:w="75" w:type="dxa"/>
            </w:tcMar>
            <w:vAlign w:val="top"/>
          </w:tcPr>
          <w:p>
            <w:pPr>
              <w:spacing w:after="20"/>
            </w:pPr>
            <w:r>
              <w:rPr>
                <w:sz w:val="16"/>
              </w:rPr>
              <w:t>5,5,5,5</w:t>
            </w:r>
          </w:p>
        </w:tc>
        <w:tc>
          <w:tcPr>
            <w:tcW w:type="dxa" w:w="1152"/>
            <w:tcMar>
              <w:top w:w="60" w:type="dxa"/>
              <w:start w:w="75" w:type="dxa"/>
              <w:bottom w:w="60" w:type="dxa"/>
              <w:end w:w="75" w:type="dxa"/>
            </w:tcMar>
            <w:vAlign w:val="top"/>
          </w:tcPr>
          <w:p>
            <w:pPr>
              <w:spacing w:after="20"/>
            </w:pPr>
            <w:r>
              <w:rPr>
                <w:sz w:val="16"/>
              </w:rPr>
              <w:t>100</w:t>
            </w:r>
          </w:p>
        </w:tc>
        <w:tc>
          <w:tcPr>
            <w:tcW w:type="dxa" w:w="1152"/>
            <w:tcMar>
              <w:top w:w="60" w:type="dxa"/>
              <w:start w:w="75" w:type="dxa"/>
              <w:bottom w:w="60" w:type="dxa"/>
              <w:end w:w="75" w:type="dxa"/>
            </w:tcMar>
            <w:vAlign w:val="top"/>
          </w:tcPr>
          <w:p>
            <w:pPr>
              <w:spacing w:after="20"/>
            </w:pPr>
            <w:r>
              <w:rPr>
                <w:sz w:val="16"/>
              </w:rPr>
              <w:t>5</w:t>
            </w:r>
          </w:p>
        </w:tc>
        <w:tc>
          <w:tcPr>
            <w:tcW w:type="dxa" w:w="1656"/>
            <w:tcMar>
              <w:top w:w="60" w:type="dxa"/>
              <w:start w:w="75" w:type="dxa"/>
              <w:bottom w:w="60" w:type="dxa"/>
              <w:end w:w="75" w:type="dxa"/>
            </w:tcMar>
            <w:vAlign w:val="top"/>
          </w:tcPr>
          <w:p>
            <w:pPr>
              <w:spacing w:after="20"/>
            </w:pPr>
            <w:r>
              <w:rPr>
                <w:sz w:val="16"/>
              </w:rPr>
              <w:t>0</w:t>
            </w:r>
          </w:p>
        </w:tc>
        <w:tc>
          <w:tcPr>
            <w:tcW w:type="dxa" w:w="1296"/>
            <w:tcMar>
              <w:top w:w="60" w:type="dxa"/>
              <w:start w:w="75" w:type="dxa"/>
              <w:bottom w:w="60" w:type="dxa"/>
              <w:end w:w="75" w:type="dxa"/>
            </w:tcMar>
            <w:vAlign w:val="top"/>
          </w:tcPr>
          <w:p>
            <w:pPr>
              <w:spacing w:after="20"/>
            </w:pPr>
            <w:r>
              <w:rPr>
                <w:sz w:val="16"/>
              </w:rPr>
              <w:t>100</w:t>
            </w:r>
          </w:p>
        </w:tc>
        <w:tc>
          <w:tcPr>
            <w:tcW w:type="dxa" w:w="3456"/>
            <w:tcMar>
              <w:top w:w="60" w:type="dxa"/>
              <w:start w:w="75" w:type="dxa"/>
              <w:bottom w:w="60" w:type="dxa"/>
              <w:end w:w="75" w:type="dxa"/>
            </w:tcMar>
            <w:vAlign w:val="top"/>
          </w:tcPr>
          <w:p>
            <w:pPr>
              <w:spacing w:after="20"/>
            </w:pPr>
            <w:r>
              <w:rPr>
                <w:sz w:val="16"/>
              </w:rPr>
              <w:t>Acuerdo total en el extremo favorable.</w:t>
            </w:r>
          </w:p>
        </w:tc>
      </w:tr>
      <w:tr>
        <w:tc>
          <w:tcPr>
            <w:tcW w:type="dxa" w:w="2232"/>
            <w:tcMar>
              <w:top w:w="60" w:type="dxa"/>
              <w:start w:w="75" w:type="dxa"/>
              <w:bottom w:w="60" w:type="dxa"/>
              <w:end w:w="75" w:type="dxa"/>
            </w:tcMar>
            <w:vAlign w:val="top"/>
          </w:tcPr>
          <w:p>
            <w:pPr>
              <w:spacing w:after="20"/>
            </w:pPr>
            <w:r>
              <w:rPr>
                <w:sz w:val="16"/>
              </w:rPr>
              <w:t>Distribución uniforme</w:t>
            </w:r>
          </w:p>
        </w:tc>
        <w:tc>
          <w:tcPr>
            <w:tcW w:type="dxa" w:w="2232"/>
            <w:tcMar>
              <w:top w:w="60" w:type="dxa"/>
              <w:start w:w="75" w:type="dxa"/>
              <w:bottom w:w="60" w:type="dxa"/>
              <w:end w:w="75" w:type="dxa"/>
            </w:tcMar>
            <w:vAlign w:val="top"/>
          </w:tcPr>
          <w:p>
            <w:pPr>
              <w:spacing w:after="20"/>
            </w:pPr>
            <w:r>
              <w:rPr>
                <w:sz w:val="16"/>
              </w:rPr>
              <w:t>1,2,3,4,5</w:t>
            </w:r>
          </w:p>
        </w:tc>
        <w:tc>
          <w:tcPr>
            <w:tcW w:type="dxa" w:w="1152"/>
            <w:tcMar>
              <w:top w:w="60" w:type="dxa"/>
              <w:start w:w="75" w:type="dxa"/>
              <w:bottom w:w="60" w:type="dxa"/>
              <w:end w:w="75" w:type="dxa"/>
            </w:tcMar>
            <w:vAlign w:val="top"/>
          </w:tcPr>
          <w:p>
            <w:pPr>
              <w:spacing w:after="20"/>
            </w:pPr>
            <w:r>
              <w:rPr>
                <w:sz w:val="16"/>
              </w:rPr>
              <w:t>50</w:t>
            </w:r>
          </w:p>
        </w:tc>
        <w:tc>
          <w:tcPr>
            <w:tcW w:type="dxa" w:w="1152"/>
            <w:tcMar>
              <w:top w:w="60" w:type="dxa"/>
              <w:start w:w="75" w:type="dxa"/>
              <w:bottom w:w="60" w:type="dxa"/>
              <w:end w:w="75" w:type="dxa"/>
            </w:tcMar>
            <w:vAlign w:val="top"/>
          </w:tcPr>
          <w:p>
            <w:pPr>
              <w:spacing w:after="20"/>
            </w:pPr>
            <w:r>
              <w:rPr>
                <w:sz w:val="16"/>
              </w:rPr>
              <w:t>3</w:t>
            </w:r>
          </w:p>
        </w:tc>
        <w:tc>
          <w:tcPr>
            <w:tcW w:type="dxa" w:w="1656"/>
            <w:tcMar>
              <w:top w:w="60" w:type="dxa"/>
              <w:start w:w="75" w:type="dxa"/>
              <w:bottom w:w="60" w:type="dxa"/>
              <w:end w:w="75" w:type="dxa"/>
            </w:tcMar>
            <w:vAlign w:val="top"/>
          </w:tcPr>
          <w:p>
            <w:pPr>
              <w:spacing w:after="20"/>
            </w:pPr>
            <w:r>
              <w:rPr>
                <w:sz w:val="16"/>
              </w:rPr>
              <w:t>80</w:t>
            </w:r>
          </w:p>
        </w:tc>
        <w:tc>
          <w:tcPr>
            <w:tcW w:type="dxa" w:w="1296"/>
            <w:tcMar>
              <w:top w:w="60" w:type="dxa"/>
              <w:start w:w="75" w:type="dxa"/>
              <w:bottom w:w="60" w:type="dxa"/>
              <w:end w:w="75" w:type="dxa"/>
            </w:tcMar>
            <w:vAlign w:val="top"/>
          </w:tcPr>
          <w:p>
            <w:pPr>
              <w:spacing w:after="20"/>
            </w:pPr>
            <w:r>
              <w:rPr>
                <w:sz w:val="16"/>
              </w:rPr>
              <w:t>20</w:t>
            </w:r>
          </w:p>
        </w:tc>
        <w:tc>
          <w:tcPr>
            <w:tcW w:type="dxa" w:w="3456"/>
            <w:tcMar>
              <w:top w:w="60" w:type="dxa"/>
              <w:start w:w="75" w:type="dxa"/>
              <w:bottom w:w="60" w:type="dxa"/>
              <w:end w:w="75" w:type="dxa"/>
            </w:tcMar>
            <w:vAlign w:val="top"/>
          </w:tcPr>
          <w:p>
            <w:pPr>
              <w:spacing w:after="20"/>
            </w:pPr>
            <w:r>
              <w:rPr>
                <w:sz w:val="16"/>
              </w:rPr>
              <w:t>Alta heterogeneidad a lo largo de toda la escala.</w:t>
            </w:r>
          </w:p>
        </w:tc>
      </w:tr>
    </w:tbl>
    <w:p>
      <w:pPr>
        <w:spacing w:after="0"/>
      </w:pPr>
    </w:p>
    <w:p>
      <w:r>
        <w:t>La prueba confirma que L por sí solo es insuficiente y que H preserva información crítica sin crear una nueva dimensión conceptual.</w:t>
      </w:r>
    </w:p>
    <w:p>
      <w:pPr>
        <w:pStyle w:val="Heading1"/>
      </w:pPr>
      <w:r>
        <w:t>11. Salidas del motor</w:t>
      </w:r>
    </w:p>
    <w:p>
      <w:pPr>
        <w:pStyle w:val="Heading2"/>
      </w:pPr>
      <w:r>
        <w:t>11.1 Salida primaria por posición</w:t>
      </w:r>
    </w:p>
    <w:tbl>
      <w:tblPr>
        <w:tblStyle w:val="TableGrid"/>
        <w:tblW w:type="auto" w:w="0"/>
        <w:jc w:val="center"/>
        <w:tblLook w:firstColumn="1" w:firstRow="1" w:lastColumn="0" w:lastRow="0" w:noHBand="0" w:noVBand="1" w:val="04A0"/>
      </w:tblPr>
      <w:tblGrid>
        <w:gridCol w:w="5040"/>
        <w:gridCol w:w="5040"/>
      </w:tblGrid>
      <w:tr>
        <w:tc>
          <w:tcPr>
            <w:tcW w:type="dxa" w:w="1584"/>
            <w:shd w:fill="E8EEF5"/>
            <w:tcMar>
              <w:top w:w="60" w:type="dxa"/>
              <w:start w:w="75" w:type="dxa"/>
              <w:bottom w:w="60" w:type="dxa"/>
              <w:end w:w="75" w:type="dxa"/>
            </w:tcMar>
            <w:vAlign w:val="center"/>
          </w:tcPr>
          <w:p>
            <w:r>
              <w:rPr>
                <w:b/>
                <w:sz w:val="17"/>
              </w:rPr>
              <w:t>Salida</w:t>
            </w:r>
          </w:p>
        </w:tc>
        <w:tc>
          <w:tcPr>
            <w:tcW w:type="dxa" w:w="9288"/>
            <w:shd w:fill="E8EEF5"/>
            <w:tcMar>
              <w:top w:w="60" w:type="dxa"/>
              <w:start w:w="75" w:type="dxa"/>
              <w:bottom w:w="60" w:type="dxa"/>
              <w:end w:w="75" w:type="dxa"/>
            </w:tcMar>
            <w:vAlign w:val="center"/>
          </w:tcPr>
          <w:p>
            <w:r>
              <w:rPr>
                <w:b/>
                <w:sz w:val="17"/>
              </w:rPr>
              <w:t>Contenido obligatorio</w:t>
            </w:r>
          </w:p>
        </w:tc>
      </w:tr>
      <w:tr>
        <w:tc>
          <w:tcPr>
            <w:tcW w:type="dxa" w:w="1584"/>
            <w:tcMar>
              <w:top w:w="60" w:type="dxa"/>
              <w:start w:w="75" w:type="dxa"/>
              <w:bottom w:w="60" w:type="dxa"/>
              <w:end w:w="75" w:type="dxa"/>
            </w:tcMar>
            <w:vAlign w:val="top"/>
          </w:tcPr>
          <w:p>
            <w:pPr>
              <w:spacing w:after="20"/>
            </w:pPr>
            <w:r>
              <w:rPr>
                <w:sz w:val="17"/>
              </w:rPr>
              <w:t>FPV-C</w:t>
            </w:r>
          </w:p>
        </w:tc>
        <w:tc>
          <w:tcPr>
            <w:tcW w:type="dxa" w:w="9288"/>
            <w:tcMar>
              <w:top w:w="60" w:type="dxa"/>
              <w:start w:w="75" w:type="dxa"/>
              <w:bottom w:w="60" w:type="dxa"/>
              <w:end w:w="75" w:type="dxa"/>
            </w:tcMar>
            <w:vAlign w:val="top"/>
          </w:tcPr>
          <w:p>
            <w:pPr>
              <w:spacing w:after="20"/>
            </w:pPr>
            <w:r>
              <w:rPr>
                <w:sz w:val="17"/>
              </w:rPr>
              <w:t>F | P | V del consumidor, cada uno con L, mediana, distribución, H, C, CE, n válido y NE.</w:t>
            </w:r>
          </w:p>
        </w:tc>
      </w:tr>
      <w:tr>
        <w:tc>
          <w:tcPr>
            <w:tcW w:type="dxa" w:w="1584"/>
            <w:tcMar>
              <w:top w:w="60" w:type="dxa"/>
              <w:start w:w="75" w:type="dxa"/>
              <w:bottom w:w="60" w:type="dxa"/>
              <w:end w:w="75" w:type="dxa"/>
            </w:tcMar>
            <w:vAlign w:val="top"/>
          </w:tcPr>
          <w:p>
            <w:pPr>
              <w:spacing w:after="20"/>
            </w:pPr>
            <w:r>
              <w:rPr>
                <w:sz w:val="17"/>
              </w:rPr>
              <w:t>FPV-I</w:t>
            </w:r>
          </w:p>
        </w:tc>
        <w:tc>
          <w:tcPr>
            <w:tcW w:type="dxa" w:w="9288"/>
            <w:tcMar>
              <w:top w:w="60" w:type="dxa"/>
              <w:start w:w="75" w:type="dxa"/>
              <w:bottom w:w="60" w:type="dxa"/>
              <w:end w:w="75" w:type="dxa"/>
            </w:tcMar>
            <w:vAlign w:val="top"/>
          </w:tcPr>
          <w:p>
            <w:pPr>
              <w:spacing w:after="20"/>
            </w:pPr>
            <w:r>
              <w:rPr>
                <w:sz w:val="17"/>
              </w:rPr>
              <w:t>F | P | V del inversionista con la misma estructura.</w:t>
            </w:r>
          </w:p>
        </w:tc>
      </w:tr>
      <w:tr>
        <w:tc>
          <w:tcPr>
            <w:tcW w:type="dxa" w:w="1584"/>
            <w:tcMar>
              <w:top w:w="60" w:type="dxa"/>
              <w:start w:w="75" w:type="dxa"/>
              <w:bottom w:w="60" w:type="dxa"/>
              <w:end w:w="75" w:type="dxa"/>
            </w:tcMar>
            <w:vAlign w:val="top"/>
          </w:tcPr>
          <w:p>
            <w:pPr>
              <w:spacing w:after="20"/>
            </w:pPr>
            <w:r>
              <w:rPr>
                <w:sz w:val="17"/>
              </w:rPr>
              <w:t>FPV-P</w:t>
            </w:r>
          </w:p>
        </w:tc>
        <w:tc>
          <w:tcPr>
            <w:tcW w:type="dxa" w:w="9288"/>
            <w:tcMar>
              <w:top w:w="60" w:type="dxa"/>
              <w:start w:w="75" w:type="dxa"/>
              <w:bottom w:w="60" w:type="dxa"/>
              <w:end w:w="75" w:type="dxa"/>
            </w:tcMar>
            <w:vAlign w:val="top"/>
          </w:tcPr>
          <w:p>
            <w:pPr>
              <w:spacing w:after="20"/>
            </w:pPr>
            <w:r>
              <w:rPr>
                <w:sz w:val="17"/>
              </w:rPr>
              <w:t>F | P | V del proveedor con la misma estructura.</w:t>
            </w:r>
          </w:p>
        </w:tc>
      </w:tr>
    </w:tbl>
    <w:p>
      <w:pPr>
        <w:spacing w:after="0"/>
      </w:pPr>
    </w:p>
    <w:p>
      <w:pPr>
        <w:pStyle w:val="Heading2"/>
      </w:pPr>
      <w:r>
        <w:t>11.2 Salida configuracional</w:t>
      </w:r>
    </w:p>
    <w:p>
      <w:pPr>
        <w:pStyle w:val="ListBullet"/>
        <w:spacing w:after="40"/>
      </w:pPr>
      <w:r>
        <w:t>LF*, LP*, LV* calculados sobre Ncfg emparejado.</w:t>
      </w:r>
    </w:p>
    <w:p>
      <w:pPr>
        <w:pStyle w:val="ListBullet"/>
        <w:spacing w:after="40"/>
      </w:pPr>
      <w:r>
        <w:t>Brecha G entre la dimensión más alta y la más baja.</w:t>
      </w:r>
    </w:p>
    <w:p>
      <w:pPr>
        <w:pStyle w:val="ListBullet"/>
        <w:spacing w:after="40"/>
      </w:pPr>
      <w:r>
        <w:t>Dimensión limitante descriptiva: la de menor L*.</w:t>
      </w:r>
    </w:p>
    <w:p>
      <w:pPr>
        <w:pStyle w:val="ListBullet"/>
        <w:spacing w:after="40"/>
      </w:pPr>
      <w:r>
        <w:t>Dimensión fortalecida descriptiva: la de mayor L*.</w:t>
      </w:r>
    </w:p>
    <w:p>
      <w:pPr>
        <w:pStyle w:val="ListBullet"/>
        <w:spacing w:after="40"/>
      </w:pPr>
      <w:r>
        <w:t>Distribución e heterogeneidad visibles para impedir conclusiones basadas únicamente en el nivel.</w:t>
      </w:r>
    </w:p>
    <w:p>
      <w:r>
        <w:t>No existe en v1.1 un índice FPV global que promedie F, P y V ni una puntuación que combine consumidor, inversionista y proveedor. Cualquier índice sintético futuro deberá demostrar utilidad adicional y robustez mediante análisis de sensibilidad.</w:t>
      </w:r>
    </w:p>
    <w:p>
      <w:pPr>
        <w:pStyle w:val="Heading1"/>
      </w:pPr>
      <w:r>
        <w:t>12. Configuraciones diagnósticas</w:t>
      </w:r>
    </w:p>
    <w:tbl>
      <w:tblPr>
        <w:tblStyle w:val="TableGrid"/>
        <w:tblW w:type="auto" w:w="0"/>
        <w:jc w:val="center"/>
        <w:tblLook w:firstColumn="1" w:firstRow="1" w:lastColumn="0" w:lastRow="0" w:noHBand="0" w:noVBand="1" w:val="04A0"/>
      </w:tblPr>
      <w:tblGrid>
        <w:gridCol w:w="5040"/>
        <w:gridCol w:w="5040"/>
      </w:tblGrid>
      <w:tr>
        <w:tc>
          <w:tcPr>
            <w:tcW w:type="dxa" w:w="2448"/>
            <w:shd w:fill="E8EEF5"/>
            <w:tcMar>
              <w:top w:w="60" w:type="dxa"/>
              <w:start w:w="75" w:type="dxa"/>
              <w:bottom w:w="60" w:type="dxa"/>
              <w:end w:w="75" w:type="dxa"/>
            </w:tcMar>
            <w:vAlign w:val="center"/>
          </w:tcPr>
          <w:p>
            <w:r>
              <w:rPr>
                <w:b/>
                <w:sz w:val="17"/>
              </w:rPr>
              <w:t>Configuración relativa</w:t>
            </w:r>
          </w:p>
        </w:tc>
        <w:tc>
          <w:tcPr>
            <w:tcW w:type="dxa" w:w="8424"/>
            <w:shd w:fill="E8EEF5"/>
            <w:tcMar>
              <w:top w:w="60" w:type="dxa"/>
              <w:start w:w="75" w:type="dxa"/>
              <w:bottom w:w="60" w:type="dxa"/>
              <w:end w:w="75" w:type="dxa"/>
            </w:tcMar>
            <w:vAlign w:val="center"/>
          </w:tcPr>
          <w:p>
            <w:r>
              <w:rPr>
                <w:b/>
                <w:sz w:val="17"/>
              </w:rPr>
              <w:t>Lectura orientativa</w:t>
            </w:r>
          </w:p>
        </w:tc>
      </w:tr>
      <w:tr>
        <w:tc>
          <w:tcPr>
            <w:tcW w:type="dxa" w:w="2448"/>
            <w:tcMar>
              <w:top w:w="60" w:type="dxa"/>
              <w:start w:w="75" w:type="dxa"/>
              <w:bottom w:w="60" w:type="dxa"/>
              <w:end w:w="75" w:type="dxa"/>
            </w:tcMar>
            <w:vAlign w:val="top"/>
          </w:tcPr>
          <w:p>
            <w:pPr>
              <w:spacing w:after="20"/>
            </w:pPr>
            <w:r>
              <w:rPr>
                <w:sz w:val="17"/>
              </w:rPr>
              <w:t>F↑ P↑ V↑</w:t>
            </w:r>
          </w:p>
        </w:tc>
        <w:tc>
          <w:tcPr>
            <w:tcW w:type="dxa" w:w="8424"/>
            <w:tcMar>
              <w:top w:w="60" w:type="dxa"/>
              <w:start w:w="75" w:type="dxa"/>
              <w:bottom w:w="60" w:type="dxa"/>
              <w:end w:w="75" w:type="dxa"/>
            </w:tcMar>
            <w:vAlign w:val="top"/>
          </w:tcPr>
          <w:p>
            <w:pPr>
              <w:spacing w:after="20"/>
            </w:pPr>
            <w:r>
              <w:rPr>
                <w:sz w:val="17"/>
              </w:rPr>
              <w:t>Relación integralmente fortalecida.</w:t>
            </w:r>
          </w:p>
        </w:tc>
      </w:tr>
      <w:tr>
        <w:tc>
          <w:tcPr>
            <w:tcW w:type="dxa" w:w="2448"/>
            <w:tcMar>
              <w:top w:w="60" w:type="dxa"/>
              <w:start w:w="75" w:type="dxa"/>
              <w:bottom w:w="60" w:type="dxa"/>
              <w:end w:w="75" w:type="dxa"/>
            </w:tcMar>
            <w:vAlign w:val="top"/>
          </w:tcPr>
          <w:p>
            <w:pPr>
              <w:spacing w:after="20"/>
            </w:pPr>
            <w:r>
              <w:rPr>
                <w:sz w:val="17"/>
              </w:rPr>
              <w:t>F↑ P↑ V↓</w:t>
            </w:r>
          </w:p>
        </w:tc>
        <w:tc>
          <w:tcPr>
            <w:tcW w:type="dxa" w:w="8424"/>
            <w:tcMar>
              <w:top w:w="60" w:type="dxa"/>
              <w:start w:w="75" w:type="dxa"/>
              <w:bottom w:w="60" w:type="dxa"/>
              <w:end w:w="75" w:type="dxa"/>
            </w:tcMar>
            <w:vAlign w:val="top"/>
          </w:tcPr>
          <w:p>
            <w:pPr>
              <w:spacing w:after="20"/>
            </w:pPr>
            <w:r>
              <w:rPr>
                <w:sz w:val="17"/>
              </w:rPr>
              <w:t>Fiabilidad y satisfacción sin vínculo significativo; posible sustituibilidad.</w:t>
            </w:r>
          </w:p>
        </w:tc>
      </w:tr>
      <w:tr>
        <w:tc>
          <w:tcPr>
            <w:tcW w:type="dxa" w:w="2448"/>
            <w:tcMar>
              <w:top w:w="60" w:type="dxa"/>
              <w:start w:w="75" w:type="dxa"/>
              <w:bottom w:w="60" w:type="dxa"/>
              <w:end w:w="75" w:type="dxa"/>
            </w:tcMar>
            <w:vAlign w:val="top"/>
          </w:tcPr>
          <w:p>
            <w:pPr>
              <w:spacing w:after="20"/>
            </w:pPr>
            <w:r>
              <w:rPr>
                <w:sz w:val="17"/>
              </w:rPr>
              <w:t>F↑ P↓ V↑</w:t>
            </w:r>
          </w:p>
        </w:tc>
        <w:tc>
          <w:tcPr>
            <w:tcW w:type="dxa" w:w="8424"/>
            <w:tcMar>
              <w:top w:w="60" w:type="dxa"/>
              <w:start w:w="75" w:type="dxa"/>
              <w:bottom w:w="60" w:type="dxa"/>
              <w:end w:w="75" w:type="dxa"/>
            </w:tcMar>
            <w:vAlign w:val="top"/>
          </w:tcPr>
          <w:p>
            <w:pPr>
              <w:spacing w:after="20"/>
            </w:pPr>
            <w:r>
              <w:rPr>
                <w:sz w:val="17"/>
              </w:rPr>
              <w:t>Confianza y vínculo con deterioro de correspondencia; existe capital relacional para investigar recuperación.</w:t>
            </w:r>
          </w:p>
        </w:tc>
      </w:tr>
      <w:tr>
        <w:tc>
          <w:tcPr>
            <w:tcW w:type="dxa" w:w="2448"/>
            <w:tcMar>
              <w:top w:w="60" w:type="dxa"/>
              <w:start w:w="75" w:type="dxa"/>
              <w:bottom w:w="60" w:type="dxa"/>
              <w:end w:w="75" w:type="dxa"/>
            </w:tcMar>
            <w:vAlign w:val="top"/>
          </w:tcPr>
          <w:p>
            <w:pPr>
              <w:spacing w:after="20"/>
            </w:pPr>
            <w:r>
              <w:rPr>
                <w:sz w:val="17"/>
              </w:rPr>
              <w:t>F↓ P↑ V↑</w:t>
            </w:r>
          </w:p>
        </w:tc>
        <w:tc>
          <w:tcPr>
            <w:tcW w:type="dxa" w:w="8424"/>
            <w:tcMar>
              <w:top w:w="60" w:type="dxa"/>
              <w:start w:w="75" w:type="dxa"/>
              <w:bottom w:w="60" w:type="dxa"/>
              <w:end w:w="75" w:type="dxa"/>
            </w:tcMar>
            <w:vAlign w:val="top"/>
          </w:tcPr>
          <w:p>
            <w:pPr>
              <w:spacing w:after="20"/>
            </w:pPr>
            <w:r>
              <w:rPr>
                <w:sz w:val="17"/>
              </w:rPr>
              <w:t>Satisfacción y vínculo con deterioro de confianza; fragilidad específica.</w:t>
            </w:r>
          </w:p>
        </w:tc>
      </w:tr>
      <w:tr>
        <w:tc>
          <w:tcPr>
            <w:tcW w:type="dxa" w:w="2448"/>
            <w:tcMar>
              <w:top w:w="60" w:type="dxa"/>
              <w:start w:w="75" w:type="dxa"/>
              <w:bottom w:w="60" w:type="dxa"/>
              <w:end w:w="75" w:type="dxa"/>
            </w:tcMar>
            <w:vAlign w:val="top"/>
          </w:tcPr>
          <w:p>
            <w:pPr>
              <w:spacing w:after="20"/>
            </w:pPr>
            <w:r>
              <w:rPr>
                <w:sz w:val="17"/>
              </w:rPr>
              <w:t>F↓ P↓ V↑</w:t>
            </w:r>
          </w:p>
        </w:tc>
        <w:tc>
          <w:tcPr>
            <w:tcW w:type="dxa" w:w="8424"/>
            <w:tcMar>
              <w:top w:w="60" w:type="dxa"/>
              <w:start w:w="75" w:type="dxa"/>
              <w:bottom w:w="60" w:type="dxa"/>
              <w:end w:w="75" w:type="dxa"/>
            </w:tcMar>
            <w:vAlign w:val="top"/>
          </w:tcPr>
          <w:p>
            <w:pPr>
              <w:spacing w:after="20"/>
            </w:pPr>
            <w:r>
              <w:rPr>
                <w:sz w:val="17"/>
              </w:rPr>
              <w:t>Apego dentro de una relación deteriorada; vínculo no equivale a salud relacional.</w:t>
            </w:r>
          </w:p>
        </w:tc>
      </w:tr>
      <w:tr>
        <w:tc>
          <w:tcPr>
            <w:tcW w:type="dxa" w:w="2448"/>
            <w:tcMar>
              <w:top w:w="60" w:type="dxa"/>
              <w:start w:w="75" w:type="dxa"/>
              <w:bottom w:w="60" w:type="dxa"/>
              <w:end w:w="75" w:type="dxa"/>
            </w:tcMar>
            <w:vAlign w:val="top"/>
          </w:tcPr>
          <w:p>
            <w:pPr>
              <w:spacing w:after="20"/>
            </w:pPr>
            <w:r>
              <w:rPr>
                <w:sz w:val="17"/>
              </w:rPr>
              <w:t>F↑ P↓ V↓</w:t>
            </w:r>
          </w:p>
        </w:tc>
        <w:tc>
          <w:tcPr>
            <w:tcW w:type="dxa" w:w="8424"/>
            <w:tcMar>
              <w:top w:w="60" w:type="dxa"/>
              <w:start w:w="75" w:type="dxa"/>
              <w:bottom w:w="60" w:type="dxa"/>
              <w:end w:w="75" w:type="dxa"/>
            </w:tcMar>
            <w:vAlign w:val="top"/>
          </w:tcPr>
          <w:p>
            <w:pPr>
              <w:spacing w:after="20"/>
            </w:pPr>
            <w:r>
              <w:rPr>
                <w:sz w:val="17"/>
              </w:rPr>
              <w:t>Confianza sin suficiente satisfacción ni vínculo.</w:t>
            </w:r>
          </w:p>
        </w:tc>
      </w:tr>
      <w:tr>
        <w:tc>
          <w:tcPr>
            <w:tcW w:type="dxa" w:w="2448"/>
            <w:tcMar>
              <w:top w:w="60" w:type="dxa"/>
              <w:start w:w="75" w:type="dxa"/>
              <w:bottom w:w="60" w:type="dxa"/>
              <w:end w:w="75" w:type="dxa"/>
            </w:tcMar>
            <w:vAlign w:val="top"/>
          </w:tcPr>
          <w:p>
            <w:pPr>
              <w:spacing w:after="20"/>
            </w:pPr>
            <w:r>
              <w:rPr>
                <w:sz w:val="17"/>
              </w:rPr>
              <w:t>F↓ P↑ V↓</w:t>
            </w:r>
          </w:p>
        </w:tc>
        <w:tc>
          <w:tcPr>
            <w:tcW w:type="dxa" w:w="8424"/>
            <w:tcMar>
              <w:top w:w="60" w:type="dxa"/>
              <w:start w:w="75" w:type="dxa"/>
              <w:bottom w:w="60" w:type="dxa"/>
              <w:end w:w="75" w:type="dxa"/>
            </w:tcMar>
            <w:vAlign w:val="top"/>
          </w:tcPr>
          <w:p>
            <w:pPr>
              <w:spacing w:after="20"/>
            </w:pPr>
            <w:r>
              <w:rPr>
                <w:sz w:val="17"/>
              </w:rPr>
              <w:t>Satisfacción circunstancial sin confianza ni vínculo.</w:t>
            </w:r>
          </w:p>
        </w:tc>
      </w:tr>
      <w:tr>
        <w:tc>
          <w:tcPr>
            <w:tcW w:type="dxa" w:w="2448"/>
            <w:tcMar>
              <w:top w:w="60" w:type="dxa"/>
              <w:start w:w="75" w:type="dxa"/>
              <w:bottom w:w="60" w:type="dxa"/>
              <w:end w:w="75" w:type="dxa"/>
            </w:tcMar>
            <w:vAlign w:val="top"/>
          </w:tcPr>
          <w:p>
            <w:pPr>
              <w:spacing w:after="20"/>
            </w:pPr>
            <w:r>
              <w:rPr>
                <w:sz w:val="17"/>
              </w:rPr>
              <w:t>F↓ P↓ V↓</w:t>
            </w:r>
          </w:p>
        </w:tc>
        <w:tc>
          <w:tcPr>
            <w:tcW w:type="dxa" w:w="8424"/>
            <w:tcMar>
              <w:top w:w="60" w:type="dxa"/>
              <w:start w:w="75" w:type="dxa"/>
              <w:bottom w:w="60" w:type="dxa"/>
              <w:end w:w="75" w:type="dxa"/>
            </w:tcMar>
            <w:vAlign w:val="top"/>
          </w:tcPr>
          <w:p>
            <w:pPr>
              <w:spacing w:after="20"/>
            </w:pPr>
            <w:r>
              <w:rPr>
                <w:sz w:val="17"/>
              </w:rPr>
              <w:t>Deterioro concurrente de las tres dimensiones.</w:t>
            </w:r>
          </w:p>
        </w:tc>
      </w:tr>
    </w:tbl>
    <w:p>
      <w:pPr>
        <w:spacing w:after="0"/>
      </w:pPr>
    </w:p>
    <w:p>
      <w:r>
        <w:t>Las flechas representan relaciones relativas o categorías que deberán calibrarse con evidencia. El motor pre-piloto no asigna automáticamente «alto» o «bajo» mediante umbrales arbitrarios.</w:t>
      </w:r>
    </w:p>
    <w:p>
      <w:pPr>
        <w:pStyle w:val="Heading1"/>
      </w:pPr>
      <w:r>
        <w:t>13. Disciplina inferencial y corroboración</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E8EEF5"/>
            <w:tcMar>
              <w:top w:w="60" w:type="dxa"/>
              <w:start w:w="75" w:type="dxa"/>
              <w:bottom w:w="60" w:type="dxa"/>
              <w:end w:w="75" w:type="dxa"/>
            </w:tcMar>
            <w:vAlign w:val="center"/>
          </w:tcPr>
          <w:p>
            <w:r>
              <w:rPr>
                <w:b/>
                <w:sz w:val="17"/>
              </w:rPr>
              <w:t>Señal</w:t>
            </w:r>
          </w:p>
        </w:tc>
        <w:tc>
          <w:tcPr>
            <w:tcW w:type="dxa" w:w="4536"/>
            <w:shd w:fill="E8EEF5"/>
            <w:tcMar>
              <w:top w:w="60" w:type="dxa"/>
              <w:start w:w="75" w:type="dxa"/>
              <w:bottom w:w="60" w:type="dxa"/>
              <w:end w:w="75" w:type="dxa"/>
            </w:tcMar>
            <w:vAlign w:val="center"/>
          </w:tcPr>
          <w:p>
            <w:r>
              <w:rPr>
                <w:b/>
                <w:sz w:val="17"/>
              </w:rPr>
              <w:t>Inferencia permitida</w:t>
            </w:r>
          </w:p>
        </w:tc>
        <w:tc>
          <w:tcPr>
            <w:tcW w:type="dxa" w:w="4536"/>
            <w:shd w:fill="E8EEF5"/>
            <w:tcMar>
              <w:top w:w="60" w:type="dxa"/>
              <w:start w:w="75" w:type="dxa"/>
              <w:bottom w:w="60" w:type="dxa"/>
              <w:end w:w="75" w:type="dxa"/>
            </w:tcMar>
            <w:vAlign w:val="center"/>
          </w:tcPr>
          <w:p>
            <w:r>
              <w:rPr>
                <w:b/>
                <w:sz w:val="17"/>
              </w:rPr>
              <w:t>Inferencia no permitida</w:t>
            </w:r>
          </w:p>
        </w:tc>
      </w:tr>
      <w:tr>
        <w:tc>
          <w:tcPr>
            <w:tcW w:type="dxa" w:w="1872"/>
            <w:tcMar>
              <w:top w:w="60" w:type="dxa"/>
              <w:start w:w="75" w:type="dxa"/>
              <w:bottom w:w="60" w:type="dxa"/>
              <w:end w:w="75" w:type="dxa"/>
            </w:tcMar>
            <w:vAlign w:val="top"/>
          </w:tcPr>
          <w:p>
            <w:pPr>
              <w:spacing w:after="20"/>
            </w:pPr>
            <w:r>
              <w:rPr>
                <w:sz w:val="17"/>
              </w:rPr>
              <w:t>Fiabilidad</w:t>
            </w:r>
          </w:p>
        </w:tc>
        <w:tc>
          <w:tcPr>
            <w:tcW w:type="dxa" w:w="4536"/>
            <w:tcMar>
              <w:top w:w="60" w:type="dxa"/>
              <w:start w:w="75" w:type="dxa"/>
              <w:bottom w:w="60" w:type="dxa"/>
              <w:end w:w="75" w:type="dxa"/>
            </w:tcMar>
            <w:vAlign w:val="top"/>
          </w:tcPr>
          <w:p>
            <w:pPr>
              <w:spacing w:after="20"/>
            </w:pPr>
            <w:r>
              <w:rPr>
                <w:sz w:val="17"/>
              </w:rPr>
              <w:t>La Persona reconoce mayor o menor consistencia/confianza.</w:t>
            </w:r>
          </w:p>
        </w:tc>
        <w:tc>
          <w:tcPr>
            <w:tcW w:type="dxa" w:w="4536"/>
            <w:tcMar>
              <w:top w:w="60" w:type="dxa"/>
              <w:start w:w="75" w:type="dxa"/>
              <w:bottom w:w="60" w:type="dxa"/>
              <w:end w:w="75" w:type="dxa"/>
            </w:tcMar>
            <w:vAlign w:val="top"/>
          </w:tcPr>
          <w:p>
            <w:pPr>
              <w:spacing w:after="20"/>
            </w:pPr>
            <w:r>
              <w:rPr>
                <w:sz w:val="17"/>
              </w:rPr>
              <w:t>La Empresa es objetivamente íntegra en toda circunstancia.</w:t>
            </w:r>
          </w:p>
        </w:tc>
      </w:tr>
      <w:tr>
        <w:tc>
          <w:tcPr>
            <w:tcW w:type="dxa" w:w="1872"/>
            <w:tcMar>
              <w:top w:w="60" w:type="dxa"/>
              <w:start w:w="75" w:type="dxa"/>
              <w:bottom w:w="60" w:type="dxa"/>
              <w:end w:w="75" w:type="dxa"/>
            </w:tcMar>
            <w:vAlign w:val="top"/>
          </w:tcPr>
          <w:p>
            <w:pPr>
              <w:spacing w:after="20"/>
            </w:pPr>
            <w:r>
              <w:rPr>
                <w:sz w:val="17"/>
              </w:rPr>
              <w:t>Proporcionalidad</w:t>
            </w:r>
          </w:p>
        </w:tc>
        <w:tc>
          <w:tcPr>
            <w:tcW w:type="dxa" w:w="4536"/>
            <w:tcMar>
              <w:top w:w="60" w:type="dxa"/>
              <w:start w:w="75" w:type="dxa"/>
              <w:bottom w:w="60" w:type="dxa"/>
              <w:end w:w="75" w:type="dxa"/>
            </w:tcMar>
            <w:vAlign w:val="top"/>
          </w:tcPr>
          <w:p>
            <w:pPr>
              <w:spacing w:after="20"/>
            </w:pPr>
            <w:r>
              <w:rPr>
                <w:sz w:val="17"/>
              </w:rPr>
              <w:t>La Persona reconoce mayor o menor correspondencia/satisfacción.</w:t>
            </w:r>
          </w:p>
        </w:tc>
        <w:tc>
          <w:tcPr>
            <w:tcW w:type="dxa" w:w="4536"/>
            <w:tcMar>
              <w:top w:w="60" w:type="dxa"/>
              <w:start w:w="75" w:type="dxa"/>
              <w:bottom w:w="60" w:type="dxa"/>
              <w:end w:w="75" w:type="dxa"/>
            </w:tcMar>
            <w:vAlign w:val="top"/>
          </w:tcPr>
          <w:p>
            <w:pPr>
              <w:spacing w:after="20"/>
            </w:pPr>
            <w:r>
              <w:rPr>
                <w:sz w:val="17"/>
              </w:rPr>
              <w:t>La relación es objetivamente justa.</w:t>
            </w:r>
          </w:p>
        </w:tc>
      </w:tr>
      <w:tr>
        <w:tc>
          <w:tcPr>
            <w:tcW w:type="dxa" w:w="1872"/>
            <w:tcMar>
              <w:top w:w="60" w:type="dxa"/>
              <w:start w:w="75" w:type="dxa"/>
              <w:bottom w:w="60" w:type="dxa"/>
              <w:end w:w="75" w:type="dxa"/>
            </w:tcMar>
            <w:vAlign w:val="top"/>
          </w:tcPr>
          <w:p>
            <w:pPr>
              <w:spacing w:after="20"/>
            </w:pPr>
            <w:r>
              <w:rPr>
                <w:sz w:val="17"/>
              </w:rPr>
              <w:t>Vínculo</w:t>
            </w:r>
          </w:p>
        </w:tc>
        <w:tc>
          <w:tcPr>
            <w:tcW w:type="dxa" w:w="4536"/>
            <w:tcMar>
              <w:top w:w="60" w:type="dxa"/>
              <w:start w:w="75" w:type="dxa"/>
              <w:bottom w:w="60" w:type="dxa"/>
              <w:end w:w="75" w:type="dxa"/>
            </w:tcMar>
            <w:vAlign w:val="top"/>
          </w:tcPr>
          <w:p>
            <w:pPr>
              <w:spacing w:after="20"/>
            </w:pPr>
            <w:r>
              <w:rPr>
                <w:sz w:val="17"/>
              </w:rPr>
              <w:t>La Persona manifiesta mayor o menor disposición relacional/apego.</w:t>
            </w:r>
          </w:p>
        </w:tc>
        <w:tc>
          <w:tcPr>
            <w:tcW w:type="dxa" w:w="4536"/>
            <w:tcMar>
              <w:top w:w="60" w:type="dxa"/>
              <w:start w:w="75" w:type="dxa"/>
              <w:bottom w:w="60" w:type="dxa"/>
              <w:end w:w="75" w:type="dxa"/>
            </w:tcMar>
            <w:vAlign w:val="top"/>
          </w:tcPr>
          <w:p>
            <w:pPr>
              <w:spacing w:after="20"/>
            </w:pPr>
            <w:r>
              <w:rPr>
                <w:sz w:val="17"/>
              </w:rPr>
              <w:t>Habrá necesariamente recompra, permanencia o fidelidad.</w:t>
            </w:r>
          </w:p>
        </w:tc>
      </w:tr>
    </w:tbl>
    <w:p>
      <w:pPr>
        <w:spacing w:after="0"/>
      </w:pPr>
    </w:p>
    <w:p>
      <w:pPr>
        <w:spacing w:before="60" w:after="120"/>
        <w:ind w:left="504" w:right="288"/>
      </w:pPr>
      <w:r>
        <w:rPr>
          <w:i/>
          <w:color w:val="374151"/>
          <w:sz w:val="21"/>
        </w:rPr>
        <w:t>RESPUESTA → SEÑAL → HALLAZGO CORROBORADO → HIPÓTESIS → CONCLUSIÓN SUSTENTADA → VERIFICACIÓN</w:t>
      </w:r>
    </w:p>
    <w:p>
      <w:r>
        <w:t>Recurrencia puede existir sin apego; dependencia puede producir permanencia; rentabilidad no equivale a satisfacción relacional. La evidencia operacional corrobora o contradice hipótesis, pero no se convierte automáticamente en FPV.</w:t>
      </w:r>
    </w:p>
    <w:p>
      <w:pPr>
        <w:pStyle w:val="Heading1"/>
      </w:pPr>
      <w:r>
        <w:t>14. Especificación implementable</w:t>
      </w:r>
    </w:p>
    <w:p>
      <w:r>
        <w:t>Pseudocódigo lógico del motor por posición de participación:</w:t>
      </w:r>
    </w:p>
    <w:p>
      <w:pPr>
        <w:ind w:left="360"/>
      </w:pPr>
      <w:r>
        <w:rPr>
          <w:rFonts w:ascii="Consolas" w:hAnsi="Consolas"/>
          <w:sz w:val="16"/>
        </w:rPr>
        <w:t>ENTRADA:</w:t>
        <w:br/>
        <w:t xml:space="preserve">  respuestas[id_persona][F,P,V] ∈ {1,2,3,4,5,NE,NR}</w:t>
        <w:br/>
        <w:t xml:space="preserve">  opcional: peso[id_persona], N_elegibles, diseño_muestral</w:t>
        <w:br/>
        <w:br/>
        <w:t>PARA cada sensor j en {F,P,V}:</w:t>
        <w:br/>
        <w:t xml:space="preserve">  validos = respuestas j con valor 1..5</w:t>
        <w:br/>
        <w:t xml:space="preserve">  conservar n_valido, n_NE, n_NR</w:t>
        <w:br/>
        <w:t xml:space="preserve">  si n_valido = 0:</w:t>
        <w:br/>
        <w:t xml:space="preserve">      estado_j = NO_CALCULABLE</w:t>
        <w:br/>
        <w:t xml:space="preserve">      continuar</w:t>
        <w:br/>
        <w:br/>
        <w:t xml:space="preserve">  normalizar cada r: s = 25*(r-1)</w:t>
        <w:br/>
        <w:t xml:space="preserve">  calcular L_j</w:t>
        <w:br/>
        <w:t xml:space="preserve">  calcular mediana de r</w:t>
        <w:br/>
        <w:t xml:space="preserve">  calcular p1..p5</w:t>
        <w:br/>
        <w:t xml:space="preserve">  calcular H_j = 50 * suma_i suma_k (p_i*p_k*abs(i-k))</w:t>
        <w:br/>
        <w:t xml:space="preserve">  calcular C_j = 100 - H_j</w:t>
        <w:br/>
        <w:t xml:space="preserve">  calcular CE_j = 100*n_valido/(n_valido+n_NE), si denominador &gt; 0</w:t>
        <w:br/>
        <w:t xml:space="preserve">  si N_elegibles disponible:</w:t>
        <w:br/>
        <w:t xml:space="preserve">      calcular PR y CV_j</w:t>
        <w:br/>
        <w:br/>
        <w:t>CONFIGURACION:</w:t>
        <w:br/>
        <w:t xml:space="preserve">  matched = personas con F,P,V válidos</w:t>
        <w:br/>
        <w:t xml:space="preserve">  Ncfg = tamaño(matched)</w:t>
        <w:br/>
        <w:t xml:space="preserve">  si Ncfg &gt; 0:</w:t>
        <w:br/>
        <w:t xml:space="preserve">      recalcular LF*, LP*, LV* sobre matched</w:t>
        <w:br/>
        <w:t xml:space="preserve">      G = max(LF*,LP*,LV*) - min(LF*,LP*,LV*)</w:t>
        <w:br/>
        <w:t xml:space="preserve">      identificar dimensión mínima y máxima</w:t>
        <w:br/>
        <w:t xml:space="preserve">  no calcular promedio global F-P-V</w:t>
        <w:br/>
        <w:br/>
        <w:t>INCERTIDUMBRE:</w:t>
        <w:br/>
        <w:t xml:space="preserve">  si diseño permite inferencia:</w:t>
        <w:br/>
        <w:t xml:space="preserve">      calcular intervalos conforme al diseño</w:t>
        <w:br/>
        <w:t xml:space="preserve">  si muestra no probabilística sin modelo:</w:t>
        <w:br/>
        <w:t xml:space="preserve">      no mostrar margen de error convencional</w:t>
        <w:br/>
        <w:br/>
        <w:t>SALIDA:</w:t>
        <w:br/>
        <w:t xml:space="preserve">  FPV-C / FPV-I / FPV-P</w:t>
        <w:br/>
        <w:t xml:space="preserve">  perfil F|P|V + distribución + H + C + cobertura + trazabilidad</w:t>
      </w:r>
    </w:p>
    <w:p>
      <w:pPr>
        <w:pStyle w:val="Heading1"/>
      </w:pPr>
      <w:r>
        <w:t>15. Validación del motor en piloto</w:t>
      </w:r>
    </w:p>
    <w:p>
      <w:pPr>
        <w:pStyle w:val="ListBullet"/>
        <w:spacing w:after="40"/>
      </w:pPr>
      <w:r>
        <w:t>Verificar comprensión espontánea de los nueve ítems y estabilidad semántica por posición.</w:t>
      </w:r>
    </w:p>
    <w:p>
      <w:pPr>
        <w:pStyle w:val="ListBullet"/>
        <w:spacing w:after="40"/>
      </w:pPr>
      <w:r>
        <w:t>Comprobar que F, P y V pueden diferenciarse y no colapsan en una valoración general de agrado/desagrado.</w:t>
      </w:r>
    </w:p>
    <w:p>
      <w:pPr>
        <w:pStyle w:val="ListBullet"/>
        <w:spacing w:after="40"/>
      </w:pPr>
      <w:r>
        <w:t>Examinar test–retest cuando la relación no cambia y sensibilidad ante cambios reales.</w:t>
      </w:r>
    </w:p>
    <w:p>
      <w:pPr>
        <w:pStyle w:val="ListBullet"/>
        <w:spacing w:after="40"/>
      </w:pPr>
      <w:r>
        <w:t>Contrastar L, distribución y H con evidencia externa pertinente.</w:t>
      </w:r>
    </w:p>
    <w:p>
      <w:pPr>
        <w:pStyle w:val="ListBullet"/>
        <w:spacing w:after="40"/>
      </w:pPr>
      <w:r>
        <w:t>Evaluar escenarios de dependencia, cautividad y ausencia de alternativas para separar permanencia de Vínculo.</w:t>
      </w:r>
    </w:p>
    <w:p>
      <w:pPr>
        <w:pStyle w:val="ListBullet"/>
        <w:spacing w:after="40"/>
      </w:pPr>
      <w:r>
        <w:t>Realizar análisis de sensibilidad antes de introducir cualquier ponderación, umbral o índice sintético.</w:t>
      </w:r>
    </w:p>
    <w:p>
      <w:pPr>
        <w:pStyle w:val="ListBullet"/>
        <w:spacing w:after="40"/>
      </w:pPr>
      <w:r>
        <w:t>Calibrar parámetros de suficiencia y reglas de visualización sin convertirlos en definiciones del constructo.</w:t>
      </w:r>
    </w:p>
    <w:p>
      <w:pPr>
        <w:pStyle w:val="Heading1"/>
      </w:pPr>
      <w:r>
        <w:t>16. Integración estratégica con AIE</w:t>
      </w:r>
    </w:p>
    <w:p>
      <w:r>
        <w:t>AIE y FPV producen lecturas diferentes. El motor FPV entrega el perfil relacional; la capa estratégica lo contrasta con el Estado EFICIENCIA. La versión pre-piloto no fuerza una fórmula multiplicativa ni un promedio AIE–FPV.</w:t>
      </w:r>
    </w:p>
    <w:tbl>
      <w:tblPr>
        <w:tblStyle w:val="TableGrid"/>
        <w:tblW w:type="auto" w:w="0"/>
        <w:jc w:val="center"/>
        <w:tblLook w:firstColumn="1" w:firstRow="1" w:lastColumn="0" w:lastRow="0" w:noHBand="0" w:noVBand="1" w:val="04A0"/>
      </w:tblPr>
      <w:tblGrid>
        <w:gridCol w:w="5040"/>
        <w:gridCol w:w="5040"/>
      </w:tblGrid>
      <w:tr>
        <w:tc>
          <w:tcPr>
            <w:tcW w:type="dxa" w:w="2808"/>
            <w:shd w:fill="E8EEF5"/>
            <w:tcMar>
              <w:top w:w="60" w:type="dxa"/>
              <w:start w:w="75" w:type="dxa"/>
              <w:bottom w:w="60" w:type="dxa"/>
              <w:end w:w="75" w:type="dxa"/>
            </w:tcMar>
            <w:vAlign w:val="center"/>
          </w:tcPr>
          <w:p>
            <w:r>
              <w:rPr>
                <w:b/>
                <w:sz w:val="17"/>
              </w:rPr>
              <w:t>Estado relativo</w:t>
            </w:r>
          </w:p>
        </w:tc>
        <w:tc>
          <w:tcPr>
            <w:tcW w:type="dxa" w:w="8064"/>
            <w:shd w:fill="E8EEF5"/>
            <w:tcMar>
              <w:top w:w="60" w:type="dxa"/>
              <w:start w:w="75" w:type="dxa"/>
              <w:bottom w:w="60" w:type="dxa"/>
              <w:end w:w="75" w:type="dxa"/>
            </w:tcMar>
            <w:vAlign w:val="center"/>
          </w:tcPr>
          <w:p>
            <w:r>
              <w:rPr>
                <w:b/>
                <w:sz w:val="17"/>
              </w:rPr>
              <w:t>Lectura estratégica orientativa</w:t>
            </w:r>
          </w:p>
        </w:tc>
      </w:tr>
      <w:tr>
        <w:tc>
          <w:tcPr>
            <w:tcW w:type="dxa" w:w="2808"/>
            <w:tcMar>
              <w:top w:w="60" w:type="dxa"/>
              <w:start w:w="75" w:type="dxa"/>
              <w:bottom w:w="60" w:type="dxa"/>
              <w:end w:w="75" w:type="dxa"/>
            </w:tcMar>
            <w:vAlign w:val="top"/>
          </w:tcPr>
          <w:p>
            <w:pPr>
              <w:spacing w:after="20"/>
            </w:pPr>
            <w:r>
              <w:rPr>
                <w:sz w:val="17"/>
              </w:rPr>
              <w:t>AIE fuerte + FPV fuerte</w:t>
            </w:r>
          </w:p>
        </w:tc>
        <w:tc>
          <w:tcPr>
            <w:tcW w:type="dxa" w:w="8064"/>
            <w:tcMar>
              <w:top w:w="60" w:type="dxa"/>
              <w:start w:w="75" w:type="dxa"/>
              <w:bottom w:w="60" w:type="dxa"/>
              <w:end w:w="75" w:type="dxa"/>
            </w:tcMar>
            <w:vAlign w:val="top"/>
          </w:tcPr>
          <w:p>
            <w:pPr>
              <w:spacing w:after="20"/>
            </w:pPr>
            <w:r>
              <w:rPr>
                <w:sz w:val="17"/>
              </w:rPr>
              <w:t>Capacidad organizacional acompañada por relaciones fortalecidas: base potencial para desarrollar ventaja sostenible.</w:t>
            </w:r>
          </w:p>
        </w:tc>
      </w:tr>
      <w:tr>
        <w:tc>
          <w:tcPr>
            <w:tcW w:type="dxa" w:w="2808"/>
            <w:tcMar>
              <w:top w:w="60" w:type="dxa"/>
              <w:start w:w="75" w:type="dxa"/>
              <w:bottom w:w="60" w:type="dxa"/>
              <w:end w:w="75" w:type="dxa"/>
            </w:tcMar>
            <w:vAlign w:val="top"/>
          </w:tcPr>
          <w:p>
            <w:pPr>
              <w:spacing w:after="20"/>
            </w:pPr>
            <w:r>
              <w:rPr>
                <w:sz w:val="17"/>
              </w:rPr>
              <w:t>AIE fuerte + FPV débil</w:t>
            </w:r>
          </w:p>
        </w:tc>
        <w:tc>
          <w:tcPr>
            <w:tcW w:type="dxa" w:w="8064"/>
            <w:tcMar>
              <w:top w:w="60" w:type="dxa"/>
              <w:start w:w="75" w:type="dxa"/>
              <w:bottom w:w="60" w:type="dxa"/>
              <w:end w:w="75" w:type="dxa"/>
            </w:tcMar>
            <w:vAlign w:val="top"/>
          </w:tcPr>
          <w:p>
            <w:pPr>
              <w:spacing w:after="20"/>
            </w:pPr>
            <w:r>
              <w:rPr>
                <w:sz w:val="17"/>
              </w:rPr>
              <w:t>La capacidad del sistema no se convierte suficientemente en valor relacional.</w:t>
            </w:r>
          </w:p>
        </w:tc>
      </w:tr>
      <w:tr>
        <w:tc>
          <w:tcPr>
            <w:tcW w:type="dxa" w:w="2808"/>
            <w:tcMar>
              <w:top w:w="60" w:type="dxa"/>
              <w:start w:w="75" w:type="dxa"/>
              <w:bottom w:w="60" w:type="dxa"/>
              <w:end w:w="75" w:type="dxa"/>
            </w:tcMar>
            <w:vAlign w:val="top"/>
          </w:tcPr>
          <w:p>
            <w:pPr>
              <w:spacing w:after="20"/>
            </w:pPr>
            <w:r>
              <w:rPr>
                <w:sz w:val="17"/>
              </w:rPr>
              <w:t>AIE débil + FPV fuerte</w:t>
            </w:r>
          </w:p>
        </w:tc>
        <w:tc>
          <w:tcPr>
            <w:tcW w:type="dxa" w:w="8064"/>
            <w:tcMar>
              <w:top w:w="60" w:type="dxa"/>
              <w:start w:w="75" w:type="dxa"/>
              <w:bottom w:w="60" w:type="dxa"/>
              <w:end w:w="75" w:type="dxa"/>
            </w:tcMar>
            <w:vAlign w:val="top"/>
          </w:tcPr>
          <w:p>
            <w:pPr>
              <w:spacing w:after="20"/>
            </w:pPr>
            <w:r>
              <w:rPr>
                <w:sz w:val="17"/>
              </w:rPr>
              <w:t>Existe capital relacional preservado pese al deterioro del sistema.</w:t>
            </w:r>
          </w:p>
        </w:tc>
      </w:tr>
      <w:tr>
        <w:tc>
          <w:tcPr>
            <w:tcW w:type="dxa" w:w="2808"/>
            <w:tcMar>
              <w:top w:w="60" w:type="dxa"/>
              <w:start w:w="75" w:type="dxa"/>
              <w:bottom w:w="60" w:type="dxa"/>
              <w:end w:w="75" w:type="dxa"/>
            </w:tcMar>
            <w:vAlign w:val="top"/>
          </w:tcPr>
          <w:p>
            <w:pPr>
              <w:spacing w:after="20"/>
            </w:pPr>
            <w:r>
              <w:rPr>
                <w:sz w:val="17"/>
              </w:rPr>
              <w:t>AIE débil + FPV débil</w:t>
            </w:r>
          </w:p>
        </w:tc>
        <w:tc>
          <w:tcPr>
            <w:tcW w:type="dxa" w:w="8064"/>
            <w:tcMar>
              <w:top w:w="60" w:type="dxa"/>
              <w:start w:w="75" w:type="dxa"/>
              <w:bottom w:w="60" w:type="dxa"/>
              <w:end w:w="75" w:type="dxa"/>
            </w:tcMar>
            <w:vAlign w:val="top"/>
          </w:tcPr>
          <w:p>
            <w:pPr>
              <w:spacing w:after="20"/>
            </w:pPr>
            <w:r>
              <w:rPr>
                <w:sz w:val="17"/>
              </w:rPr>
              <w:t>Concurren deterioro organizacional y relacional; no prueba causalidad entre ambos.</w:t>
            </w:r>
          </w:p>
        </w:tc>
      </w:tr>
    </w:tbl>
    <w:p>
      <w:pPr>
        <w:spacing w:after="0"/>
      </w:pPr>
    </w:p>
    <w:p>
      <w:pPr>
        <w:spacing w:before="60" w:after="120"/>
        <w:ind w:left="504" w:right="288"/>
      </w:pPr>
      <w:r>
        <w:rPr>
          <w:i/>
          <w:color w:val="374151"/>
          <w:sz w:val="21"/>
        </w:rPr>
        <w:t>La ventaja competitiva no depende solamente de lo que una Empresa es capaz de hacer, sino de la experiencia que construye con las Personas de las que necesita y que necesitan de ella.</w:t>
      </w:r>
    </w:p>
    <w:p>
      <w:pPr>
        <w:pStyle w:val="Heading1"/>
      </w:pPr>
      <w:r>
        <w:t>17. Fundamento metodológico y referencias</w:t>
      </w:r>
    </w:p>
    <w:p>
      <w:pPr>
        <w:pStyle w:val="ListBullet"/>
        <w:spacing w:after="40"/>
      </w:pPr>
      <w:r>
        <w:t>Norman, G. (2010). Likert scales, levels of measurement and the “laws” of statistics. Advances in Health Sciences Education, 15, 625–632. DOI: 10.1007/s10459-010-9222-y.</w:t>
      </w:r>
    </w:p>
    <w:p>
      <w:pPr>
        <w:pStyle w:val="ListBullet"/>
        <w:spacing w:after="40"/>
      </w:pPr>
      <w:r>
        <w:t>OECD / European Union / EC-JRC (2008). Handbook on Constructing Composite Indicators: Methodology and User Guide. OECD Publishing. DOI: 10.1787/9789264043466-en.</w:t>
      </w:r>
    </w:p>
    <w:p>
      <w:pPr>
        <w:pStyle w:val="ListBullet"/>
        <w:spacing w:after="40"/>
      </w:pPr>
      <w:r>
        <w:t>Rossiter, J. R. (2002). The C-OAR-SE procedure for scale development in marketing. International Journal of Research in Marketing, 19(4), 305–335. DOI: 10.1016/S0167-8116(02)00097-6.</w:t>
      </w:r>
    </w:p>
    <w:p>
      <w:pPr>
        <w:pStyle w:val="ListBullet"/>
        <w:spacing w:after="40"/>
      </w:pPr>
      <w:r>
        <w:t>Blair, J., &amp; Lacy, M. G. (2000). Statistics of Ordinal Variation. Sociological Methods &amp; Research, 28(3), 251–280. DOI: 10.1177/0049124100028003001.</w:t>
      </w:r>
    </w:p>
    <w:p>
      <w:pPr>
        <w:pStyle w:val="ListBullet"/>
        <w:spacing w:after="40"/>
      </w:pPr>
      <w:r>
        <w:t>Pavoine, S., Ollier, S., &amp; Pontier, D. (2005). Measuring diversity from dissimilarities with Rao’s quadratic entropy. Theoretical Population Biology, 67(4), 231–239. DOI: 10.1016/j.tpb.2005.01.004.</w:t>
      </w:r>
    </w:p>
    <w:p>
      <w:pPr>
        <w:pStyle w:val="ListBullet"/>
        <w:spacing w:after="40"/>
      </w:pPr>
      <w:r>
        <w:t>AAPOR (2023). Standard Definitions: Final Dispositions of Case Codes and Outcome Rates for Surveys, 10th edition; y estándares de transparencia para muestras probabilísticas y no probabilísticas.</w:t>
      </w:r>
    </w:p>
    <w:p>
      <w:pPr>
        <w:pStyle w:val="ListBullet"/>
        <w:spacing w:after="40"/>
      </w:pPr>
      <w:r>
        <w:t>NIST/SEMATECH. e-Handbook of Statistical Methods. Confidence intervals and bootstrap methods.</w:t>
      </w:r>
    </w:p>
    <w:p>
      <w:pPr>
        <w:pStyle w:val="Heading1"/>
      </w:pPr>
      <w:r>
        <w:t>18. Estado de cierre</w:t>
      </w:r>
    </w:p>
    <w:p>
      <w:r>
        <w:t>FPV queda cerrado conceptualmente como Documento Técnico v1.1 pre-piloto con Motor de Cálculo y Lectura integrado. Quedan definidos: arquitectura F–P–V, posiciones de participación, nueve preguntas, escala y codificación, tratamiento de NE/NR, normalización, cálculo de nivel, distribución, heterogeneidad, consenso descriptivo, cobertura, muestra emparejada, brecha configuracional, ponderación condicionada al diseño, reglas de incertidumbre, salidas, disciplina inferencial y pseudocódigo implementable.</w:t>
      </w:r>
    </w:p>
    <w:p>
      <w:r>
        <w:t>Permanecen abiertos únicamente los parámetros que requieren evidencia empírica: umbrales de interpretación, criterios operativos de suficiencia, comportamiento de la escala, estabilidad, sensibilidad, reglas de segmentación y cualquier eventual índice sintético. Estos elementos solo podrán incorporarse después del piloto y de análisis de sensibilidad.</w:t>
      </w:r>
    </w:p>
    <w:p>
      <w:pPr>
        <w:spacing w:before="60" w:after="120"/>
        <w:ind w:left="504" w:right="288"/>
      </w:pPr>
      <w:r>
        <w:rPr>
          <w:i/>
          <w:color w:val="374151"/>
          <w:sz w:val="21"/>
        </w:rPr>
        <w:t>ANTE EVIDENCIA INSUFICIENTE, FPV DEBE MOSTRAR INCERTIDUMBRE O NO CALCULAR; NUNCA COMPLETAR LA EVIDENCIA QUE NO EXISTE.</w:t>
      </w:r>
    </w:p>
    <w:p>
      <w:r>
        <w:br w:type="page"/>
      </w:r>
    </w:p>
    <w:p>
      <w:pPr>
        <w:pStyle w:val="Heading1"/>
      </w:pPr>
      <w:r>
        <w:t>19. Stress Test Externo con evidencia pública</w:t>
      </w:r>
    </w:p>
    <w:p>
      <w:r>
        <w:t>Esta sección somete el motor FPV a una capa adicional de contraste mediante datos y resultados publicados fuera de EFICIENCIA. El objetivo no es validar los nueve ítems FPV con instrumentos ajenos, sino comprobar si la arquitectura matemática y las reglas de lectura se comportan de forma razonable cuando reciben distribuciones y relaciones observadas en datos reales.</w:t>
      </w:r>
    </w:p>
    <w:p>
      <w:pPr>
        <w:pStyle w:val="Heading2"/>
      </w:pPr>
      <w:r>
        <w:t>19.1 Regla de equivalencia analógica</w:t>
      </w:r>
    </w:p>
    <w:p>
      <w:r>
        <w:t>Ninguna variable externa se considera equivalente a una pregunta FPV. Se utiliza únicamente cuando ocupa un territorio experiencial suficientemente próximo para estresar una propiedad del motor. La equivalencia es funcional y provisional: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5"/>
            <w:tcMar>
              <w:top w:w="60" w:type="dxa"/>
              <w:start w:w="75" w:type="dxa"/>
              <w:bottom w:w="60" w:type="dxa"/>
              <w:end w:w="75" w:type="dxa"/>
            </w:tcMar>
            <w:vAlign w:val="center"/>
          </w:tcPr>
          <w:p>
            <w:r>
              <w:rPr>
                <w:b/>
                <w:sz w:val="17"/>
              </w:rPr>
              <w:t>FPV</w:t>
            </w:r>
          </w:p>
        </w:tc>
        <w:tc>
          <w:tcPr>
            <w:tcW w:type="dxa" w:w="3360"/>
            <w:shd w:fill="E8EEF5"/>
            <w:tcMar>
              <w:top w:w="60" w:type="dxa"/>
              <w:start w:w="75" w:type="dxa"/>
              <w:bottom w:w="60" w:type="dxa"/>
              <w:end w:w="75" w:type="dxa"/>
            </w:tcMar>
            <w:vAlign w:val="center"/>
          </w:tcPr>
          <w:p>
            <w:r>
              <w:rPr>
                <w:b/>
                <w:sz w:val="17"/>
              </w:rPr>
              <w:t>Proxy externo utilizado</w:t>
            </w:r>
          </w:p>
        </w:tc>
        <w:tc>
          <w:tcPr>
            <w:tcW w:type="dxa" w:w="3360"/>
            <w:shd w:fill="E8EEF5"/>
            <w:tcMar>
              <w:top w:w="60" w:type="dxa"/>
              <w:start w:w="75" w:type="dxa"/>
              <w:bottom w:w="60" w:type="dxa"/>
              <w:end w:w="75" w:type="dxa"/>
            </w:tcMar>
            <w:vAlign w:val="center"/>
          </w:tcPr>
          <w:p>
            <w:r>
              <w:rPr>
                <w:b/>
                <w:sz w:val="17"/>
              </w:rPr>
              <w:t>Qué se prueba</w:t>
            </w:r>
          </w:p>
        </w:tc>
      </w:tr>
      <w:tr>
        <w:tc>
          <w:tcPr>
            <w:tcW w:type="dxa" w:w="3360"/>
            <w:tcMar>
              <w:top w:w="60" w:type="dxa"/>
              <w:start w:w="75" w:type="dxa"/>
              <w:bottom w:w="60" w:type="dxa"/>
              <w:end w:w="75" w:type="dxa"/>
            </w:tcMar>
            <w:vAlign w:val="top"/>
          </w:tcPr>
          <w:p>
            <w:pPr>
              <w:spacing w:after="20"/>
            </w:pPr>
            <w:r>
              <w:rPr>
                <w:sz w:val="17"/>
              </w:rPr>
              <w:t>Fiabilidad</w:t>
            </w:r>
          </w:p>
        </w:tc>
        <w:tc>
          <w:tcPr>
            <w:tcW w:type="dxa" w:w="3360"/>
            <w:tcMar>
              <w:top w:w="60" w:type="dxa"/>
              <w:start w:w="75" w:type="dxa"/>
              <w:bottom w:w="60" w:type="dxa"/>
              <w:end w:w="75" w:type="dxa"/>
            </w:tcMar>
            <w:vAlign w:val="top"/>
          </w:tcPr>
          <w:p>
            <w:pPr>
              <w:spacing w:after="20"/>
            </w:pPr>
            <w:r>
              <w:rPr>
                <w:sz w:val="17"/>
              </w:rPr>
              <w:t>Calidad / reliability / trust, según la fuente</w:t>
            </w:r>
          </w:p>
        </w:tc>
        <w:tc>
          <w:tcPr>
            <w:tcW w:type="dxa" w:w="3360"/>
            <w:tcMar>
              <w:top w:w="60" w:type="dxa"/>
              <w:start w:w="75" w:type="dxa"/>
              <w:bottom w:w="60" w:type="dxa"/>
              <w:end w:w="75" w:type="dxa"/>
            </w:tcMar>
            <w:vAlign w:val="top"/>
          </w:tcPr>
          <w:p>
            <w:pPr>
              <w:spacing w:after="20"/>
            </w:pPr>
            <w:r>
              <w:rPr>
                <w:sz w:val="17"/>
              </w:rPr>
              <w:t>Que una señal de consistencia no sea absorbida por satisfacción o vínculo.</w:t>
            </w:r>
          </w:p>
        </w:tc>
      </w:tr>
      <w:tr>
        <w:tc>
          <w:tcPr>
            <w:tcW w:type="dxa" w:w="3360"/>
            <w:tcMar>
              <w:top w:w="60" w:type="dxa"/>
              <w:start w:w="75" w:type="dxa"/>
              <w:bottom w:w="60" w:type="dxa"/>
              <w:end w:w="75" w:type="dxa"/>
            </w:tcMar>
            <w:vAlign w:val="top"/>
          </w:tcPr>
          <w:p>
            <w:pPr>
              <w:spacing w:after="20"/>
            </w:pPr>
            <w:r>
              <w:rPr>
                <w:sz w:val="17"/>
              </w:rPr>
              <w:t>Proporcionalidad</w:t>
            </w:r>
          </w:p>
        </w:tc>
        <w:tc>
          <w:tcPr>
            <w:tcW w:type="dxa" w:w="3360"/>
            <w:tcMar>
              <w:top w:w="60" w:type="dxa"/>
              <w:start w:w="75" w:type="dxa"/>
              <w:bottom w:w="60" w:type="dxa"/>
              <w:end w:w="75" w:type="dxa"/>
            </w:tcMar>
            <w:vAlign w:val="top"/>
          </w:tcPr>
          <w:p>
            <w:pPr>
              <w:spacing w:after="20"/>
            </w:pPr>
            <w:r>
              <w:rPr>
                <w:sz w:val="17"/>
              </w:rPr>
              <w:t>Satisfaction / perceived value</w:t>
            </w:r>
          </w:p>
        </w:tc>
        <w:tc>
          <w:tcPr>
            <w:tcW w:type="dxa" w:w="3360"/>
            <w:tcMar>
              <w:top w:w="60" w:type="dxa"/>
              <w:start w:w="75" w:type="dxa"/>
              <w:bottom w:w="60" w:type="dxa"/>
              <w:end w:w="75" w:type="dxa"/>
            </w:tcMar>
            <w:vAlign w:val="top"/>
          </w:tcPr>
          <w:p>
            <w:pPr>
              <w:spacing w:after="20"/>
            </w:pPr>
            <w:r>
              <w:rPr>
                <w:sz w:val="17"/>
              </w:rPr>
              <w:t>Que la experiencia de correspondencia mantenga lectura propia.</w:t>
            </w:r>
          </w:p>
        </w:tc>
      </w:tr>
      <w:tr>
        <w:tc>
          <w:tcPr>
            <w:tcW w:type="dxa" w:w="3360"/>
            <w:tcMar>
              <w:top w:w="60" w:type="dxa"/>
              <w:start w:w="75" w:type="dxa"/>
              <w:bottom w:w="60" w:type="dxa"/>
              <w:end w:w="75" w:type="dxa"/>
            </w:tcMar>
            <w:vAlign w:val="top"/>
          </w:tcPr>
          <w:p>
            <w:pPr>
              <w:spacing w:after="20"/>
            </w:pPr>
            <w:r>
              <w:rPr>
                <w:sz w:val="17"/>
              </w:rPr>
              <w:t>Vínculo</w:t>
            </w:r>
          </w:p>
        </w:tc>
        <w:tc>
          <w:tcPr>
            <w:tcW w:type="dxa" w:w="3360"/>
            <w:tcMar>
              <w:top w:w="60" w:type="dxa"/>
              <w:start w:w="75" w:type="dxa"/>
              <w:bottom w:w="60" w:type="dxa"/>
              <w:end w:w="75" w:type="dxa"/>
            </w:tcMar>
            <w:vAlign w:val="top"/>
          </w:tcPr>
          <w:p>
            <w:pPr>
              <w:spacing w:after="20"/>
            </w:pPr>
            <w:r>
              <w:rPr>
                <w:sz w:val="17"/>
              </w:rPr>
              <w:t>Loyalty / commitment / continuity</w:t>
            </w:r>
          </w:p>
        </w:tc>
        <w:tc>
          <w:tcPr>
            <w:tcW w:type="dxa" w:w="3360"/>
            <w:tcMar>
              <w:top w:w="60" w:type="dxa"/>
              <w:start w:w="75" w:type="dxa"/>
              <w:bottom w:w="60" w:type="dxa"/>
              <w:end w:w="75" w:type="dxa"/>
            </w:tcMar>
            <w:vAlign w:val="top"/>
          </w:tcPr>
          <w:p>
            <w:pPr>
              <w:spacing w:after="20"/>
            </w:pPr>
            <w:r>
              <w:rPr>
                <w:sz w:val="17"/>
              </w:rPr>
              <w:t>Que la disposición de continuidad no sea tratada como equivalente a satisfacción.</w:t>
            </w:r>
          </w:p>
        </w:tc>
      </w:tr>
    </w:tbl>
    <w:p/>
    <w:p>
      <w:pPr>
        <w:pStyle w:val="Heading2"/>
      </w:pPr>
      <w:r>
        <w:t>19.2 Prueba con microdatos ECSI</w:t>
      </w:r>
    </w:p>
    <w:p>
      <w:r>
        <w:t>Se utilizó un subconjunto mecánico de las primeras 30 observaciones individuales del archivo abierto satisfaction.csv del modelo ECSI, publicado como dataset de prueba del motor OpenPLS. El archivo contiene 250 observaciones y constructos separados de calidad, valor, satisfacción y lealtad. Para esta prueba no inferencial se seleccionó un indicador por territorio: qual1 como proxy de Fiabilidad, sat1 como proxy de Proporcionalidad y loy1 como proxy de Vínculo.</w:t>
      </w:r>
    </w:p>
    <w:p>
      <w:r>
        <w:t>La escala original es 0–10. Para hacer comparable la salida de presentación se normalizó linealmente a 0–100. La heterogeneidad se calculó con la misma lógica de distancia ordinal del motor, ajustando únicamente el rango de la escala. No se reinterpretaron estos resultados como puntajes FPV.</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8EEF5"/>
            <w:tcMar>
              <w:top w:w="60" w:type="dxa"/>
              <w:start w:w="75" w:type="dxa"/>
              <w:bottom w:w="60" w:type="dxa"/>
              <w:end w:w="75" w:type="dxa"/>
            </w:tcMar>
            <w:vAlign w:val="center"/>
          </w:tcPr>
          <w:p>
            <w:r>
              <w:rPr>
                <w:b/>
                <w:sz w:val="17"/>
              </w:rPr>
              <w:t>Señal análoga</w:t>
            </w:r>
          </w:p>
        </w:tc>
        <w:tc>
          <w:tcPr>
            <w:tcW w:type="dxa" w:w="1680"/>
            <w:shd w:fill="E8EEF5"/>
            <w:tcMar>
              <w:top w:w="60" w:type="dxa"/>
              <w:start w:w="75" w:type="dxa"/>
              <w:bottom w:w="60" w:type="dxa"/>
              <w:end w:w="75" w:type="dxa"/>
            </w:tcMar>
            <w:vAlign w:val="center"/>
          </w:tcPr>
          <w:p>
            <w:r>
              <w:rPr>
                <w:b/>
                <w:sz w:val="17"/>
              </w:rPr>
              <w:t>n</w:t>
            </w:r>
          </w:p>
        </w:tc>
        <w:tc>
          <w:tcPr>
            <w:tcW w:type="dxa" w:w="1680"/>
            <w:shd w:fill="E8EEF5"/>
            <w:tcMar>
              <w:top w:w="60" w:type="dxa"/>
              <w:start w:w="75" w:type="dxa"/>
              <w:bottom w:w="60" w:type="dxa"/>
              <w:end w:w="75" w:type="dxa"/>
            </w:tcMar>
            <w:vAlign w:val="center"/>
          </w:tcPr>
          <w:p>
            <w:r>
              <w:rPr>
                <w:b/>
                <w:sz w:val="17"/>
              </w:rPr>
              <w:t>Nivel L</w:t>
            </w:r>
          </w:p>
        </w:tc>
        <w:tc>
          <w:tcPr>
            <w:tcW w:type="dxa" w:w="1680"/>
            <w:shd w:fill="E8EEF5"/>
            <w:tcMar>
              <w:top w:w="60" w:type="dxa"/>
              <w:start w:w="75" w:type="dxa"/>
              <w:bottom w:w="60" w:type="dxa"/>
              <w:end w:w="75" w:type="dxa"/>
            </w:tcMar>
            <w:vAlign w:val="center"/>
          </w:tcPr>
          <w:p>
            <w:r>
              <w:rPr>
                <w:b/>
                <w:sz w:val="17"/>
              </w:rPr>
              <w:t>Mediana original</w:t>
            </w:r>
          </w:p>
        </w:tc>
        <w:tc>
          <w:tcPr>
            <w:tcW w:type="dxa" w:w="1680"/>
            <w:shd w:fill="E8EEF5"/>
            <w:tcMar>
              <w:top w:w="60" w:type="dxa"/>
              <w:start w:w="75" w:type="dxa"/>
              <w:bottom w:w="60" w:type="dxa"/>
              <w:end w:w="75" w:type="dxa"/>
            </w:tcMar>
            <w:vAlign w:val="center"/>
          </w:tcPr>
          <w:p>
            <w:r>
              <w:rPr>
                <w:b/>
                <w:sz w:val="17"/>
              </w:rPr>
              <w:t>Heterogeneidad H</w:t>
            </w:r>
          </w:p>
        </w:tc>
        <w:tc>
          <w:tcPr>
            <w:tcW w:type="dxa" w:w="1680"/>
            <w:shd w:fill="E8EEF5"/>
            <w:tcMar>
              <w:top w:w="60" w:type="dxa"/>
              <w:start w:w="75" w:type="dxa"/>
              <w:bottom w:w="60" w:type="dxa"/>
              <w:end w:w="75" w:type="dxa"/>
            </w:tcMar>
            <w:vAlign w:val="center"/>
          </w:tcPr>
          <w:p>
            <w:r>
              <w:rPr>
                <w:b/>
                <w:sz w:val="17"/>
              </w:rPr>
              <w:t>Consenso C</w:t>
            </w:r>
          </w:p>
        </w:tc>
      </w:tr>
      <w:tr>
        <w:tc>
          <w:tcPr>
            <w:tcW w:type="dxa" w:w="1680"/>
            <w:tcMar>
              <w:top w:w="60" w:type="dxa"/>
              <w:start w:w="75" w:type="dxa"/>
              <w:bottom w:w="60" w:type="dxa"/>
              <w:end w:w="75" w:type="dxa"/>
            </w:tcMar>
            <w:vAlign w:val="top"/>
          </w:tcPr>
          <w:p>
            <w:pPr>
              <w:spacing w:after="20"/>
            </w:pPr>
            <w:r>
              <w:rPr>
                <w:sz w:val="17"/>
              </w:rPr>
              <w:t>F ← qual1</w:t>
            </w:r>
          </w:p>
        </w:tc>
        <w:tc>
          <w:tcPr>
            <w:tcW w:type="dxa" w:w="1680"/>
            <w:tcMar>
              <w:top w:w="60" w:type="dxa"/>
              <w:start w:w="75" w:type="dxa"/>
              <w:bottom w:w="60" w:type="dxa"/>
              <w:end w:w="75" w:type="dxa"/>
            </w:tcMar>
            <w:vAlign w:val="top"/>
          </w:tcPr>
          <w:p>
            <w:pPr>
              <w:spacing w:after="20"/>
            </w:pPr>
            <w:r>
              <w:rPr>
                <w:sz w:val="17"/>
              </w:rPr>
              <w:t>30</w:t>
            </w:r>
          </w:p>
        </w:tc>
        <w:tc>
          <w:tcPr>
            <w:tcW w:type="dxa" w:w="1680"/>
            <w:tcMar>
              <w:top w:w="60" w:type="dxa"/>
              <w:start w:w="75" w:type="dxa"/>
              <w:bottom w:w="60" w:type="dxa"/>
              <w:end w:w="75" w:type="dxa"/>
            </w:tcMar>
            <w:vAlign w:val="top"/>
          </w:tcPr>
          <w:p>
            <w:pPr>
              <w:spacing w:after="20"/>
            </w:pPr>
            <w:r>
              <w:rPr>
                <w:sz w:val="17"/>
              </w:rPr>
              <w:t>62,7</w:t>
            </w:r>
          </w:p>
        </w:tc>
        <w:tc>
          <w:tcPr>
            <w:tcW w:type="dxa" w:w="1680"/>
            <w:tcMar>
              <w:top w:w="60" w:type="dxa"/>
              <w:start w:w="75" w:type="dxa"/>
              <w:bottom w:w="60" w:type="dxa"/>
              <w:end w:w="75" w:type="dxa"/>
            </w:tcMar>
            <w:vAlign w:val="top"/>
          </w:tcPr>
          <w:p>
            <w:pPr>
              <w:spacing w:after="20"/>
            </w:pPr>
            <w:r>
              <w:rPr>
                <w:sz w:val="17"/>
              </w:rPr>
              <w:t>7</w:t>
            </w:r>
          </w:p>
        </w:tc>
        <w:tc>
          <w:tcPr>
            <w:tcW w:type="dxa" w:w="1680"/>
            <w:tcMar>
              <w:top w:w="60" w:type="dxa"/>
              <w:start w:w="75" w:type="dxa"/>
              <w:bottom w:w="60" w:type="dxa"/>
              <w:end w:w="75" w:type="dxa"/>
            </w:tcMar>
            <w:vAlign w:val="top"/>
          </w:tcPr>
          <w:p>
            <w:pPr>
              <w:spacing w:after="20"/>
            </w:pPr>
            <w:r>
              <w:rPr>
                <w:sz w:val="17"/>
              </w:rPr>
              <w:t>42,4</w:t>
            </w:r>
          </w:p>
        </w:tc>
        <w:tc>
          <w:tcPr>
            <w:tcW w:type="dxa" w:w="1680"/>
            <w:tcMar>
              <w:top w:w="60" w:type="dxa"/>
              <w:start w:w="75" w:type="dxa"/>
              <w:bottom w:w="60" w:type="dxa"/>
              <w:end w:w="75" w:type="dxa"/>
            </w:tcMar>
            <w:vAlign w:val="top"/>
          </w:tcPr>
          <w:p>
            <w:pPr>
              <w:spacing w:after="20"/>
            </w:pPr>
            <w:r>
              <w:rPr>
                <w:sz w:val="17"/>
              </w:rPr>
              <w:t>57,6</w:t>
            </w:r>
          </w:p>
        </w:tc>
      </w:tr>
      <w:tr>
        <w:tc>
          <w:tcPr>
            <w:tcW w:type="dxa" w:w="1680"/>
            <w:tcMar>
              <w:top w:w="60" w:type="dxa"/>
              <w:start w:w="75" w:type="dxa"/>
              <w:bottom w:w="60" w:type="dxa"/>
              <w:end w:w="75" w:type="dxa"/>
            </w:tcMar>
            <w:vAlign w:val="top"/>
          </w:tcPr>
          <w:p>
            <w:pPr>
              <w:spacing w:after="20"/>
            </w:pPr>
            <w:r>
              <w:rPr>
                <w:sz w:val="17"/>
              </w:rPr>
              <w:t>P ← sat1</w:t>
            </w:r>
          </w:p>
        </w:tc>
        <w:tc>
          <w:tcPr>
            <w:tcW w:type="dxa" w:w="1680"/>
            <w:tcMar>
              <w:top w:w="60" w:type="dxa"/>
              <w:start w:w="75" w:type="dxa"/>
              <w:bottom w:w="60" w:type="dxa"/>
              <w:end w:w="75" w:type="dxa"/>
            </w:tcMar>
            <w:vAlign w:val="top"/>
          </w:tcPr>
          <w:p>
            <w:pPr>
              <w:spacing w:after="20"/>
            </w:pPr>
            <w:r>
              <w:rPr>
                <w:sz w:val="17"/>
              </w:rPr>
              <w:t>30</w:t>
            </w:r>
          </w:p>
        </w:tc>
        <w:tc>
          <w:tcPr>
            <w:tcW w:type="dxa" w:w="1680"/>
            <w:tcMar>
              <w:top w:w="60" w:type="dxa"/>
              <w:start w:w="75" w:type="dxa"/>
              <w:bottom w:w="60" w:type="dxa"/>
              <w:end w:w="75" w:type="dxa"/>
            </w:tcMar>
            <w:vAlign w:val="top"/>
          </w:tcPr>
          <w:p>
            <w:pPr>
              <w:spacing w:after="20"/>
            </w:pPr>
            <w:r>
              <w:rPr>
                <w:sz w:val="17"/>
              </w:rPr>
              <w:t>72,3</w:t>
            </w:r>
          </w:p>
        </w:tc>
        <w:tc>
          <w:tcPr>
            <w:tcW w:type="dxa" w:w="1680"/>
            <w:tcMar>
              <w:top w:w="60" w:type="dxa"/>
              <w:start w:w="75" w:type="dxa"/>
              <w:bottom w:w="60" w:type="dxa"/>
              <w:end w:w="75" w:type="dxa"/>
            </w:tcMar>
            <w:vAlign w:val="top"/>
          </w:tcPr>
          <w:p>
            <w:pPr>
              <w:spacing w:after="20"/>
            </w:pPr>
            <w:r>
              <w:rPr>
                <w:sz w:val="17"/>
              </w:rPr>
              <w:t>7,5</w:t>
            </w:r>
          </w:p>
        </w:tc>
        <w:tc>
          <w:tcPr>
            <w:tcW w:type="dxa" w:w="1680"/>
            <w:tcMar>
              <w:top w:w="60" w:type="dxa"/>
              <w:start w:w="75" w:type="dxa"/>
              <w:bottom w:w="60" w:type="dxa"/>
              <w:end w:w="75" w:type="dxa"/>
            </w:tcMar>
            <w:vAlign w:val="top"/>
          </w:tcPr>
          <w:p>
            <w:pPr>
              <w:spacing w:after="20"/>
            </w:pPr>
            <w:r>
              <w:rPr>
                <w:sz w:val="17"/>
              </w:rPr>
              <w:t>37,9</w:t>
            </w:r>
          </w:p>
        </w:tc>
        <w:tc>
          <w:tcPr>
            <w:tcW w:type="dxa" w:w="1680"/>
            <w:tcMar>
              <w:top w:w="60" w:type="dxa"/>
              <w:start w:w="75" w:type="dxa"/>
              <w:bottom w:w="60" w:type="dxa"/>
              <w:end w:w="75" w:type="dxa"/>
            </w:tcMar>
            <w:vAlign w:val="top"/>
          </w:tcPr>
          <w:p>
            <w:pPr>
              <w:spacing w:after="20"/>
            </w:pPr>
            <w:r>
              <w:rPr>
                <w:sz w:val="17"/>
              </w:rPr>
              <w:t>62,1</w:t>
            </w:r>
          </w:p>
        </w:tc>
      </w:tr>
      <w:tr>
        <w:tc>
          <w:tcPr>
            <w:tcW w:type="dxa" w:w="1680"/>
            <w:tcMar>
              <w:top w:w="60" w:type="dxa"/>
              <w:start w:w="75" w:type="dxa"/>
              <w:bottom w:w="60" w:type="dxa"/>
              <w:end w:w="75" w:type="dxa"/>
            </w:tcMar>
            <w:vAlign w:val="top"/>
          </w:tcPr>
          <w:p>
            <w:pPr>
              <w:spacing w:after="20"/>
            </w:pPr>
            <w:r>
              <w:rPr>
                <w:sz w:val="17"/>
              </w:rPr>
              <w:t>V ← loy1</w:t>
            </w:r>
          </w:p>
        </w:tc>
        <w:tc>
          <w:tcPr>
            <w:tcW w:type="dxa" w:w="1680"/>
            <w:tcMar>
              <w:top w:w="60" w:type="dxa"/>
              <w:start w:w="75" w:type="dxa"/>
              <w:bottom w:w="60" w:type="dxa"/>
              <w:end w:w="75" w:type="dxa"/>
            </w:tcMar>
            <w:vAlign w:val="top"/>
          </w:tcPr>
          <w:p>
            <w:pPr>
              <w:spacing w:after="20"/>
            </w:pPr>
            <w:r>
              <w:rPr>
                <w:sz w:val="17"/>
              </w:rPr>
              <w:t>30</w:t>
            </w:r>
          </w:p>
        </w:tc>
        <w:tc>
          <w:tcPr>
            <w:tcW w:type="dxa" w:w="1680"/>
            <w:tcMar>
              <w:top w:w="60" w:type="dxa"/>
              <w:start w:w="75" w:type="dxa"/>
              <w:bottom w:w="60" w:type="dxa"/>
              <w:end w:w="75" w:type="dxa"/>
            </w:tcMar>
            <w:vAlign w:val="top"/>
          </w:tcPr>
          <w:p>
            <w:pPr>
              <w:spacing w:after="20"/>
            </w:pPr>
            <w:r>
              <w:rPr>
                <w:sz w:val="17"/>
              </w:rPr>
              <w:t>71,3</w:t>
            </w:r>
          </w:p>
        </w:tc>
        <w:tc>
          <w:tcPr>
            <w:tcW w:type="dxa" w:w="1680"/>
            <w:tcMar>
              <w:top w:w="60" w:type="dxa"/>
              <w:start w:w="75" w:type="dxa"/>
              <w:bottom w:w="60" w:type="dxa"/>
              <w:end w:w="75" w:type="dxa"/>
            </w:tcMar>
            <w:vAlign w:val="top"/>
          </w:tcPr>
          <w:p>
            <w:pPr>
              <w:spacing w:after="20"/>
            </w:pPr>
            <w:r>
              <w:rPr>
                <w:sz w:val="17"/>
              </w:rPr>
              <w:t>8</w:t>
            </w:r>
          </w:p>
        </w:tc>
        <w:tc>
          <w:tcPr>
            <w:tcW w:type="dxa" w:w="1680"/>
            <w:tcMar>
              <w:top w:w="60" w:type="dxa"/>
              <w:start w:w="75" w:type="dxa"/>
              <w:bottom w:w="60" w:type="dxa"/>
              <w:end w:w="75" w:type="dxa"/>
            </w:tcMar>
            <w:vAlign w:val="top"/>
          </w:tcPr>
          <w:p>
            <w:pPr>
              <w:spacing w:after="20"/>
            </w:pPr>
            <w:r>
              <w:rPr>
                <w:sz w:val="17"/>
              </w:rPr>
              <w:t>52,5</w:t>
            </w:r>
          </w:p>
        </w:tc>
        <w:tc>
          <w:tcPr>
            <w:tcW w:type="dxa" w:w="1680"/>
            <w:tcMar>
              <w:top w:w="60" w:type="dxa"/>
              <w:start w:w="75" w:type="dxa"/>
              <w:bottom w:w="60" w:type="dxa"/>
              <w:end w:w="75" w:type="dxa"/>
            </w:tcMar>
            <w:vAlign w:val="top"/>
          </w:tcPr>
          <w:p>
            <w:pPr>
              <w:spacing w:after="20"/>
            </w:pPr>
            <w:r>
              <w:rPr>
                <w:sz w:val="17"/>
              </w:rPr>
              <w:t>47,5</w:t>
            </w:r>
          </w:p>
        </w:tc>
      </w:tr>
    </w:tbl>
    <w:p/>
    <w:p>
      <w:r>
        <w:t>El hallazgo crítico es que P y V presentan niveles casi idénticos (72,3 y 71,3), pero V muestra una heterogeneidad claramente mayor (52,5 frente a 37,9). Un promedio o índice global habría aproximado ambas señales y ocultado una diferencia importante en la forma de la evidencia.</w:t>
      </w:r>
    </w:p>
    <w:p>
      <w:pPr>
        <w:ind w:left="504" w:right="288"/>
      </w:pPr>
      <w:r>
        <w:rPr>
          <w:i/>
          <w:sz w:val="21"/>
        </w:rPr>
        <w:t>Resultado de estrés: Nivel y Heterogeneidad aportan información no redundante. El motor supera esta prueba sin modificación de fórmula.</w:t>
      </w:r>
    </w:p>
    <w:p>
      <w:pPr>
        <w:pStyle w:val="Heading2"/>
      </w:pPr>
      <w:r>
        <w:t>19.3 Diferenciación entre señales</w:t>
      </w:r>
    </w:p>
    <w:p>
      <w:r>
        <w:t>En el mismo subconjunto, las correlaciones de Spearman entre los proxies fueron positivas pero no perfectas: F–P ≈ 0,62; F–V ≈ 0,65; P–V ≈ 0,69. La relación entre señales es suficientemente clara para esperar coherencia relacional, pero suficientemente imperfecta para rechazar su tratamiento como una sola variable.</w:t>
      </w:r>
    </w:p>
    <w:p>
      <w:r>
        <w:t>La documentación completa del dataset ECSI también mantiene Satisfacción y Lealtad como constructos separados y reporta un R² aproximado de 0,462 para Lealtad dentro del modelo estructural. Esto refuerza la conclusión de que satisfacción explica parte de la variación de lealtad, pero no la agota.</w:t>
      </w:r>
    </w:p>
    <w:p>
      <w:pPr>
        <w:pStyle w:val="Heading2"/>
      </w:pPr>
      <w:r>
        <w:t>19.4 Contraste externo — Consumidor</w:t>
      </w:r>
    </w:p>
    <w:p>
      <w:r>
        <w:t>El dataset abierto «Micro-segmentation in C2C e-Marketplaces» contiene 403 respuestas Likert 1–5 y mide por separado satisfacción, confianza y lealtad. El estudio asociado reporta que seis de siete hipótesis fueron respaldadas y, de forma especialmente relevante para FPV, la satisfacción del cliente no mostró impacto sobre la lealtad de marca en ese contexto.</w:t>
      </w:r>
    </w:p>
    <w:p>
      <w:r>
        <w:t>Esta evidencia no valida las preguntas FPV, pero constituye una prueba externa contra el supuesto de que satisfacción y vínculo son intercambiables. El motor v1.1 ya evita esa confusión al preservar P y V de forma independiente.</w:t>
      </w:r>
    </w:p>
    <w:p>
      <w:pPr>
        <w:pStyle w:val="Heading2"/>
      </w:pPr>
      <w:r>
        <w:t>19.5 Contraste externo — Proveedor</w:t>
      </w:r>
    </w:p>
    <w:p>
      <w:r>
        <w:t>En relaciones comprador–proveedor, el estudio «All you need is trust» analizó 83 empresas compradoras mediante escala Likert 1–5. La evidencia muestra que el valor percibido del desempeño del proveedor se relaciona con confianza, y que la confianza se relaciona posteriormente con intercambio de información. La relación es estructurada, pero los constructos no se colapsan en un único resultado.</w:t>
      </w:r>
    </w:p>
    <w:p>
      <w:r>
        <w:t>Esto es compatible con la arquitectura FPV: correspondencia/valor, fiabilidad/confianza y vínculo/continuidad pueden relacionarse sin convertirse en equivalentes. También refuerza la disciplina de no derivar una propiedad bilateral objetiva a partir de una sola respuesta.</w:t>
      </w:r>
    </w:p>
    <w:p>
      <w:pPr>
        <w:pStyle w:val="Heading2"/>
      </w:pPr>
      <w:r>
        <w:t>19.6 Contraste externo — Inversionista</w:t>
      </w:r>
    </w:p>
    <w:p>
      <w:r>
        <w:t>El dataset experimental «When AI Delivers Earnings» conserva respuestas individuales sobre confianza, credibilidad, transparencia y accountability, junto con una decisión conductual de asignación hipotética de USD 10.000 entre acciones de la empresa y un activo libre de riesgo. Esta estructura es especialmente útil para FPV porque separa una señal experiencial de confianza de una conducta observable de inversión.</w:t>
      </w:r>
    </w:p>
    <w:p>
      <w:r>
        <w:t>La existencia de ambas capas respalda el criterio FPV según el cual una respuesta relacional debe poder contrastarse con conducta externa sin convertir automáticamente esa conducta en el constructo. La disposición de invertir puede corroborar una hipótesis, pero no sustituye Fiabilidad, Proporcionalidad o Vínculo.</w:t>
      </w:r>
    </w:p>
    <w:p>
      <w:pPr>
        <w:pStyle w:val="Heading2"/>
      </w:pPr>
      <w:r>
        <w:t>19.7 Resultado de las pruebas externas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5"/>
            <w:tcMar>
              <w:top w:w="60" w:type="dxa"/>
              <w:start w:w="75" w:type="dxa"/>
              <w:bottom w:w="60" w:type="dxa"/>
              <w:end w:w="75" w:type="dxa"/>
            </w:tcMar>
            <w:vAlign w:val="center"/>
          </w:tcPr>
          <w:p>
            <w:r>
              <w:rPr>
                <w:b/>
                <w:sz w:val="17"/>
              </w:rPr>
              <w:t>Propiedad del motor</w:t>
            </w:r>
          </w:p>
        </w:tc>
        <w:tc>
          <w:tcPr>
            <w:tcW w:type="dxa" w:w="3360"/>
            <w:shd w:fill="E8EEF5"/>
            <w:tcMar>
              <w:top w:w="60" w:type="dxa"/>
              <w:start w:w="75" w:type="dxa"/>
              <w:bottom w:w="60" w:type="dxa"/>
              <w:end w:w="75" w:type="dxa"/>
            </w:tcMar>
            <w:vAlign w:val="center"/>
          </w:tcPr>
          <w:p>
            <w:r>
              <w:rPr>
                <w:b/>
                <w:sz w:val="17"/>
              </w:rPr>
              <w:t>Resultado</w:t>
            </w:r>
          </w:p>
        </w:tc>
        <w:tc>
          <w:tcPr>
            <w:tcW w:type="dxa" w:w="3360"/>
            <w:shd w:fill="E8EEF5"/>
            <w:tcMar>
              <w:top w:w="60" w:type="dxa"/>
              <w:start w:w="75" w:type="dxa"/>
              <w:bottom w:w="60" w:type="dxa"/>
              <w:end w:w="75" w:type="dxa"/>
            </w:tcMar>
            <w:vAlign w:val="center"/>
          </w:tcPr>
          <w:p>
            <w:r>
              <w:rPr>
                <w:b/>
                <w:sz w:val="17"/>
              </w:rPr>
              <w:t>Decisión</w:t>
            </w:r>
          </w:p>
        </w:tc>
      </w:tr>
      <w:tr>
        <w:tc>
          <w:tcPr>
            <w:tcW w:type="dxa" w:w="3360"/>
            <w:tcMar>
              <w:top w:w="60" w:type="dxa"/>
              <w:start w:w="75" w:type="dxa"/>
              <w:bottom w:w="60" w:type="dxa"/>
              <w:end w:w="75" w:type="dxa"/>
            </w:tcMar>
            <w:vAlign w:val="top"/>
          </w:tcPr>
          <w:p>
            <w:pPr>
              <w:spacing w:after="20"/>
            </w:pPr>
            <w:r>
              <w:rPr>
                <w:sz w:val="17"/>
              </w:rPr>
              <w:t>Separación F–P–V</w:t>
            </w:r>
          </w:p>
        </w:tc>
        <w:tc>
          <w:tcPr>
            <w:tcW w:type="dxa" w:w="3360"/>
            <w:tcMar>
              <w:top w:w="60" w:type="dxa"/>
              <w:start w:w="75" w:type="dxa"/>
              <w:bottom w:w="60" w:type="dxa"/>
              <w:end w:w="75" w:type="dxa"/>
            </w:tcMar>
            <w:vAlign w:val="top"/>
          </w:tcPr>
          <w:p>
            <w:pPr>
              <w:spacing w:after="20"/>
            </w:pPr>
            <w:r>
              <w:rPr>
                <w:sz w:val="17"/>
              </w:rPr>
              <w:t>Superada</w:t>
            </w:r>
          </w:p>
        </w:tc>
        <w:tc>
          <w:tcPr>
            <w:tcW w:type="dxa" w:w="3360"/>
            <w:tcMar>
              <w:top w:w="60" w:type="dxa"/>
              <w:start w:w="75" w:type="dxa"/>
              <w:bottom w:w="60" w:type="dxa"/>
              <w:end w:w="75" w:type="dxa"/>
            </w:tcMar>
            <w:vAlign w:val="top"/>
          </w:tcPr>
          <w:p>
            <w:pPr>
              <w:spacing w:after="20"/>
            </w:pPr>
            <w:r>
              <w:rPr>
                <w:sz w:val="17"/>
              </w:rPr>
              <w:t>Mantener tres señales independientes.</w:t>
            </w:r>
          </w:p>
        </w:tc>
      </w:tr>
      <w:tr>
        <w:tc>
          <w:tcPr>
            <w:tcW w:type="dxa" w:w="3360"/>
            <w:tcMar>
              <w:top w:w="60" w:type="dxa"/>
              <w:start w:w="75" w:type="dxa"/>
              <w:bottom w:w="60" w:type="dxa"/>
              <w:end w:w="75" w:type="dxa"/>
            </w:tcMar>
            <w:vAlign w:val="top"/>
          </w:tcPr>
          <w:p>
            <w:pPr>
              <w:spacing w:after="20"/>
            </w:pPr>
            <w:r>
              <w:rPr>
                <w:sz w:val="17"/>
              </w:rPr>
              <w:t>Nivel + heterogeneidad</w:t>
            </w:r>
          </w:p>
        </w:tc>
        <w:tc>
          <w:tcPr>
            <w:tcW w:type="dxa" w:w="3360"/>
            <w:tcMar>
              <w:top w:w="60" w:type="dxa"/>
              <w:start w:w="75" w:type="dxa"/>
              <w:bottom w:w="60" w:type="dxa"/>
              <w:end w:w="75" w:type="dxa"/>
            </w:tcMar>
            <w:vAlign w:val="top"/>
          </w:tcPr>
          <w:p>
            <w:pPr>
              <w:spacing w:after="20"/>
            </w:pPr>
            <w:r>
              <w:rPr>
                <w:sz w:val="17"/>
              </w:rPr>
              <w:t>Superada</w:t>
            </w:r>
          </w:p>
        </w:tc>
        <w:tc>
          <w:tcPr>
            <w:tcW w:type="dxa" w:w="3360"/>
            <w:tcMar>
              <w:top w:w="60" w:type="dxa"/>
              <w:start w:w="75" w:type="dxa"/>
              <w:bottom w:w="60" w:type="dxa"/>
              <w:end w:w="75" w:type="dxa"/>
            </w:tcMar>
            <w:vAlign w:val="top"/>
          </w:tcPr>
          <w:p>
            <w:pPr>
              <w:spacing w:after="20"/>
            </w:pPr>
            <w:r>
              <w:rPr>
                <w:sz w:val="17"/>
              </w:rPr>
              <w:t>Mantener H como acompañante obligatorio de L.</w:t>
            </w:r>
          </w:p>
        </w:tc>
      </w:tr>
      <w:tr>
        <w:tc>
          <w:tcPr>
            <w:tcW w:type="dxa" w:w="3360"/>
            <w:tcMar>
              <w:top w:w="60" w:type="dxa"/>
              <w:start w:w="75" w:type="dxa"/>
              <w:bottom w:w="60" w:type="dxa"/>
              <w:end w:w="75" w:type="dxa"/>
            </w:tcMar>
            <w:vAlign w:val="top"/>
          </w:tcPr>
          <w:p>
            <w:pPr>
              <w:spacing w:after="20"/>
            </w:pPr>
            <w:r>
              <w:rPr>
                <w:sz w:val="17"/>
              </w:rPr>
              <w:t>No compensación</w:t>
            </w:r>
          </w:p>
        </w:tc>
        <w:tc>
          <w:tcPr>
            <w:tcW w:type="dxa" w:w="3360"/>
            <w:tcMar>
              <w:top w:w="60" w:type="dxa"/>
              <w:start w:w="75" w:type="dxa"/>
              <w:bottom w:w="60" w:type="dxa"/>
              <w:end w:w="75" w:type="dxa"/>
            </w:tcMar>
            <w:vAlign w:val="top"/>
          </w:tcPr>
          <w:p>
            <w:pPr>
              <w:spacing w:after="20"/>
            </w:pPr>
            <w:r>
              <w:rPr>
                <w:sz w:val="17"/>
              </w:rPr>
              <w:t>Superada</w:t>
            </w:r>
          </w:p>
        </w:tc>
        <w:tc>
          <w:tcPr>
            <w:tcW w:type="dxa" w:w="3360"/>
            <w:tcMar>
              <w:top w:w="60" w:type="dxa"/>
              <w:start w:w="75" w:type="dxa"/>
              <w:bottom w:w="60" w:type="dxa"/>
              <w:end w:w="75" w:type="dxa"/>
            </w:tcMar>
            <w:vAlign w:val="top"/>
          </w:tcPr>
          <w:p>
            <w:pPr>
              <w:spacing w:after="20"/>
            </w:pPr>
            <w:r>
              <w:rPr>
                <w:sz w:val="17"/>
              </w:rPr>
              <w:t>No crear FPV global primario.</w:t>
            </w:r>
          </w:p>
        </w:tc>
      </w:tr>
      <w:tr>
        <w:tc>
          <w:tcPr>
            <w:tcW w:type="dxa" w:w="3360"/>
            <w:tcMar>
              <w:top w:w="60" w:type="dxa"/>
              <w:start w:w="75" w:type="dxa"/>
              <w:bottom w:w="60" w:type="dxa"/>
              <w:end w:w="75" w:type="dxa"/>
            </w:tcMar>
            <w:vAlign w:val="top"/>
          </w:tcPr>
          <w:p>
            <w:pPr>
              <w:spacing w:after="20"/>
            </w:pPr>
            <w:r>
              <w:rPr>
                <w:sz w:val="17"/>
              </w:rPr>
              <w:t>P ≠ V</w:t>
            </w:r>
          </w:p>
        </w:tc>
        <w:tc>
          <w:tcPr>
            <w:tcW w:type="dxa" w:w="3360"/>
            <w:tcMar>
              <w:top w:w="60" w:type="dxa"/>
              <w:start w:w="75" w:type="dxa"/>
              <w:bottom w:w="60" w:type="dxa"/>
              <w:end w:w="75" w:type="dxa"/>
            </w:tcMar>
            <w:vAlign w:val="top"/>
          </w:tcPr>
          <w:p>
            <w:pPr>
              <w:spacing w:after="20"/>
            </w:pPr>
            <w:r>
              <w:rPr>
                <w:sz w:val="17"/>
              </w:rPr>
              <w:t>Respaldada externamente</w:t>
            </w:r>
          </w:p>
        </w:tc>
        <w:tc>
          <w:tcPr>
            <w:tcW w:type="dxa" w:w="3360"/>
            <w:tcMar>
              <w:top w:w="60" w:type="dxa"/>
              <w:start w:w="75" w:type="dxa"/>
              <w:bottom w:w="60" w:type="dxa"/>
              <w:end w:w="75" w:type="dxa"/>
            </w:tcMar>
            <w:vAlign w:val="top"/>
          </w:tcPr>
          <w:p>
            <w:pPr>
              <w:spacing w:after="20"/>
            </w:pPr>
            <w:r>
              <w:rPr>
                <w:sz w:val="17"/>
              </w:rPr>
              <w:t>No usar satisfacción como sustituto de vínculo/lealtad.</w:t>
            </w:r>
          </w:p>
        </w:tc>
      </w:tr>
      <w:tr>
        <w:tc>
          <w:tcPr>
            <w:tcW w:type="dxa" w:w="3360"/>
            <w:tcMar>
              <w:top w:w="60" w:type="dxa"/>
              <w:start w:w="75" w:type="dxa"/>
              <w:bottom w:w="60" w:type="dxa"/>
              <w:end w:w="75" w:type="dxa"/>
            </w:tcMar>
            <w:vAlign w:val="top"/>
          </w:tcPr>
          <w:p>
            <w:pPr>
              <w:spacing w:after="20"/>
            </w:pPr>
            <w:r>
              <w:rPr>
                <w:sz w:val="17"/>
              </w:rPr>
              <w:t>Señal ≠ conducta</w:t>
            </w:r>
          </w:p>
        </w:tc>
        <w:tc>
          <w:tcPr>
            <w:tcW w:type="dxa" w:w="3360"/>
            <w:tcMar>
              <w:top w:w="60" w:type="dxa"/>
              <w:start w:w="75" w:type="dxa"/>
              <w:bottom w:w="60" w:type="dxa"/>
              <w:end w:w="75" w:type="dxa"/>
            </w:tcMar>
            <w:vAlign w:val="top"/>
          </w:tcPr>
          <w:p>
            <w:pPr>
              <w:spacing w:after="20"/>
            </w:pPr>
            <w:r>
              <w:rPr>
                <w:sz w:val="17"/>
              </w:rPr>
              <w:t>Respaldada externamente</w:t>
            </w:r>
          </w:p>
        </w:tc>
        <w:tc>
          <w:tcPr>
            <w:tcW w:type="dxa" w:w="3360"/>
            <w:tcMar>
              <w:top w:w="60" w:type="dxa"/>
              <w:start w:w="75" w:type="dxa"/>
              <w:bottom w:w="60" w:type="dxa"/>
              <w:end w:w="75" w:type="dxa"/>
            </w:tcMar>
            <w:vAlign w:val="top"/>
          </w:tcPr>
          <w:p>
            <w:pPr>
              <w:spacing w:after="20"/>
            </w:pPr>
            <w:r>
              <w:rPr>
                <w:sz w:val="17"/>
              </w:rPr>
              <w:t>Mantener corroboración externa como segunda capa.</w:t>
            </w:r>
          </w:p>
        </w:tc>
      </w:tr>
      <w:tr>
        <w:tc>
          <w:tcPr>
            <w:tcW w:type="dxa" w:w="3360"/>
            <w:tcMar>
              <w:top w:w="60" w:type="dxa"/>
              <w:start w:w="75" w:type="dxa"/>
              <w:bottom w:w="60" w:type="dxa"/>
              <w:end w:w="75" w:type="dxa"/>
            </w:tcMar>
            <w:vAlign w:val="top"/>
          </w:tcPr>
          <w:p>
            <w:pPr>
              <w:spacing w:after="20"/>
            </w:pPr>
            <w:r>
              <w:rPr>
                <w:sz w:val="17"/>
              </w:rPr>
              <w:t>Inferencia bilateral</w:t>
            </w:r>
          </w:p>
        </w:tc>
        <w:tc>
          <w:tcPr>
            <w:tcW w:type="dxa" w:w="3360"/>
            <w:tcMar>
              <w:top w:w="60" w:type="dxa"/>
              <w:start w:w="75" w:type="dxa"/>
              <w:bottom w:w="60" w:type="dxa"/>
              <w:end w:w="75" w:type="dxa"/>
            </w:tcMar>
            <w:vAlign w:val="top"/>
          </w:tcPr>
          <w:p>
            <w:pPr>
              <w:spacing w:after="20"/>
            </w:pPr>
            <w:r>
              <w:rPr>
                <w:sz w:val="17"/>
              </w:rPr>
              <w:t>No autorizada</w:t>
            </w:r>
          </w:p>
        </w:tc>
        <w:tc>
          <w:tcPr>
            <w:tcW w:type="dxa" w:w="3360"/>
            <w:tcMar>
              <w:top w:w="60" w:type="dxa"/>
              <w:start w:w="75" w:type="dxa"/>
              <w:bottom w:w="60" w:type="dxa"/>
              <w:end w:w="75" w:type="dxa"/>
            </w:tcMar>
            <w:vAlign w:val="top"/>
          </w:tcPr>
          <w:p>
            <w:pPr>
              <w:spacing w:after="20"/>
            </w:pPr>
            <w:r>
              <w:rPr>
                <w:sz w:val="17"/>
              </w:rPr>
              <w:t>Mantener regla de inferencia limitada a la experiencia observada.</w:t>
            </w:r>
          </w:p>
        </w:tc>
      </w:tr>
    </w:tbl>
    <w:p/>
    <w:p>
      <w:pPr>
        <w:pStyle w:val="Heading2"/>
      </w:pPr>
      <w:r>
        <w:t>19.8 Ajustes derivados</w:t>
      </w:r>
    </w:p>
    <w:p>
      <w:r>
        <w:t>El stress test externo no justifica modificar las nueve preguntas ni las fórmulas nucleares del motor. Sí justifica reforzar cuatro reglas operativas:</w:t>
      </w:r>
    </w:p>
    <w:p>
      <w:pPr>
        <w:pStyle w:val="ListBullet"/>
      </w:pPr>
      <w:r>
        <w:t>L nunca debe mostrarse sin H y distribución cuando la salida sea poblacional.</w:t>
      </w:r>
    </w:p>
    <w:p>
      <w:pPr>
        <w:pStyle w:val="ListBullet"/>
      </w:pPr>
      <w:r>
        <w:t>La proximidad entre dos niveles no autoriza a afirmar que las dimensiones son equivalentes.</w:t>
      </w:r>
    </w:p>
    <w:p>
      <w:pPr>
        <w:pStyle w:val="ListBullet"/>
      </w:pPr>
      <w:r>
        <w:t>El contraste con conductas externas debe documentarse como corroboración y no incorporarse automáticamente al puntaje.</w:t>
      </w:r>
    </w:p>
    <w:p>
      <w:pPr>
        <w:pStyle w:val="ListBullet"/>
      </w:pPr>
      <w:r>
        <w:t>Toda prueba con instrumentos externos debe etiquetarse como analógica; la validación de los nueve ítems solo puede producirla el piloto FPV.</w:t>
      </w:r>
    </w:p>
    <w:p>
      <w:pPr>
        <w:pStyle w:val="Heading2"/>
      </w:pPr>
      <w:r>
        <w:t>19.9 Estado después del stress test externo</w:t>
      </w:r>
    </w:p>
    <w:p>
      <w:r>
        <w:t>Con la evidencia revisada, el Motor de Cálculo y Lectura FPV no presenta una falla estructural que obligue a modificar su arquitectura pre-piloto. La combinación Nivel + Distribución + Heterogeneidad + Cobertura demuestra utilidad adicional frente al promedio simple, y la decisión de preservar F, P y V como perfil no compensatorio resulta consistente con datos y modelos externos en consumidor, inversionista y relaciones de suministro.</w:t>
      </w:r>
    </w:p>
    <w:p>
      <w:pPr>
        <w:ind w:left="504" w:right="288"/>
      </w:pPr>
      <w:r>
        <w:rPr>
          <w:i/>
          <w:sz w:val="21"/>
        </w:rPr>
        <w:t>Cierre de stress test externo: SIN CAMBIO ESTRUCTURAL DEL MOTOR. Próxima fuente legítima de modificación: evidencia del piloto FPV.</w:t>
      </w:r>
    </w:p>
    <w:p>
      <w:pPr>
        <w:pStyle w:val="Heading1"/>
      </w:pPr>
      <w:r>
        <w:t>20. Referencias adicionales del stress test</w:t>
      </w:r>
    </w:p>
    <w:p>
      <w:pPr>
        <w:pStyle w:val="ListBullet"/>
      </w:pPr>
      <w:r>
        <w:t>OpenPLS Engine. ECSI customer-satisfaction example dataset, satisfaction.csv; 250 observations, constructs Quality, Value, Satisfaction and Loyalty.</w:t>
      </w:r>
    </w:p>
    <w:p>
      <w:pPr>
        <w:pStyle w:val="ListBullet"/>
      </w:pPr>
      <w:r>
        <w:t>Lodeiros, M. L., Guimet, N., &amp; Castillo, S. (2023). C2C e-Marketplaces and How Their Micro-Segmentation Strategies Influence Their Customers. Data, 8(2), 26. Dataset DOI: 10.17632/zzx5kw6cy9.1.</w:t>
      </w:r>
    </w:p>
    <w:p>
      <w:pPr>
        <w:pStyle w:val="ListBullet"/>
      </w:pPr>
      <w:r>
        <w:t>Kotcharin, S., Dehe, B., &amp; Boonchoo, P. (2024). ‘All you need is trust’: examining trust, information sharing, and supplier performance perception in SMEs from a social exchange perspective. Cogent Business &amp; Management, 11(1), 2415523. DOI: 10.1080/23311975.2024.2415523.</w:t>
      </w:r>
    </w:p>
    <w:p>
      <w:pPr>
        <w:pStyle w:val="ListBullet"/>
      </w:pPr>
      <w:r>
        <w:t>Bonelli, M. (2026). When AI Delivers Earnings: Experimental Dataset on Digital Spokespersons, AI-Authored Financial Disclosure, Trust, and Investment Allocation. Mendeley Data. DOI: 10.17632/yb7rmbdxjy.1.</w:t>
      </w:r>
    </w:p>
    <w:p>
      <w:pPr>
        <w:pStyle w:val="ListBullet"/>
      </w:pPr>
      <w:r>
        <w:t>Al Awadh, M. (2026). Online Shopping Experience for E-Service Quality Assessment. Mendeley Data. DOI: 10.17632/y75tymxvhc.1.</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FPV — Fiabilidad · Proporcionalidad · Vínculo | Pre-piloto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EFICIENCIA | Documento Técnico FPV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F2937"/>
      <w:sz w:val="31"/>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F293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EF">
    <w:name w:val="Subtitle EF"/>
    <w:rPr>
      <w:rFonts w:ascii="Aptos" w:hAnsi="Aptos"/>
      <w:color w:val="4B556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