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EFICIENCIA</w:t>
      </w:r>
    </w:p>
    <w:p>
      <w:pPr>
        <w:jc w:val="center"/>
      </w:pPr>
      <w:r>
        <w:rPr>
          <w:sz w:val="26"/>
        </w:rPr>
        <w:t>Sistema de Inteligencia Relacional para la Productividad Organizacional</w:t>
      </w:r>
    </w:p>
    <w:p>
      <w:pPr>
        <w:spacing w:before="560"/>
        <w:jc w:val="center"/>
      </w:pPr>
      <w:r>
        <w:rPr>
          <w:b/>
          <w:sz w:val="28"/>
        </w:rPr>
        <w:t>DOCUMENTO TÉCNICO OFICIAL</w:t>
      </w:r>
    </w:p>
    <w:p>
      <w:pPr>
        <w:jc w:val="center"/>
      </w:pPr>
      <w:r>
        <w:rPr>
          <w:b/>
          <w:sz w:val="42"/>
        </w:rPr>
        <w:t>PIIO — Panel de Indicadores de Impacto Operativo</w:t>
      </w:r>
    </w:p>
    <w:p>
      <w:pPr>
        <w:jc w:val="center"/>
      </w:pPr>
      <w:r>
        <w:rPr>
          <w:sz w:val="22"/>
        </w:rPr>
        <w:t>Versión 1.1 FINAL · Auditoría de cierre y especificación para implementación</w:t>
      </w:r>
    </w:p>
    <w:p>
      <w:pPr>
        <w:spacing w:before="320"/>
        <w:jc w:val="center"/>
      </w:pPr>
      <w:r>
        <w:t>Septiembre de 2026</w:t>
      </w:r>
    </w:p>
    <w:p>
      <w:pPr>
        <w:spacing w:before="100" w:after="140"/>
        <w:ind w:left="360" w:right="288"/>
      </w:pPr>
      <w:r>
        <w:rPr>
          <w:b/>
        </w:rPr>
        <w:t>Versión canónica depurada. Sustituye la v1.0 como especificación operativa de PIIO.</w:t>
      </w:r>
    </w:p>
    <w:p>
      <w:r>
        <w:br w:type="page"/>
      </w:r>
    </w:p>
    <w:p>
      <w:pPr>
        <w:pStyle w:val="Heading1"/>
      </w:pPr>
      <w:r>
        <w:t>Control de versión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2F3"/>
            <w:tcMar>
              <w:top w:w="65" w:type="dxa"/>
              <w:start w:w="75" w:type="dxa"/>
              <w:bottom w:w="65" w:type="dxa"/>
              <w:end w:w="75" w:type="dxa"/>
            </w:tcMar>
          </w:tcPr>
          <w:p>
            <w:pPr>
              <w:spacing w:after="0"/>
            </w:pPr>
            <w:r>
              <w:rPr>
                <w:b/>
              </w:rPr>
              <w:t>Campo</w:t>
            </w:r>
          </w:p>
        </w:tc>
        <w:tc>
          <w:tcPr>
            <w:tcW w:type="dxa" w:w="7632"/>
            <w:shd w:fill="D9E2F3"/>
            <w:tcMar>
              <w:top w:w="65" w:type="dxa"/>
              <w:start w:w="75" w:type="dxa"/>
              <w:bottom w:w="65" w:type="dxa"/>
              <w:end w:w="75" w:type="dxa"/>
            </w:tcMar>
          </w:tcPr>
          <w:p>
            <w:pPr>
              <w:spacing w:after="0"/>
            </w:pPr>
            <w:r>
              <w:rPr>
                <w:b/>
              </w:rPr>
              <w:t>Valor</w:t>
            </w:r>
          </w:p>
        </w:tc>
      </w:tr>
      <w:tr>
        <w:trPr>
          <w:trHeight w:hRule="atLeast"/>
        </w:trPr>
        <w:tc>
          <w:tcPr>
            <w:tcW w:type="dxa" w:w="2448"/>
            <w:tcMar>
              <w:top w:w="65" w:type="dxa"/>
              <w:start w:w="75" w:type="dxa"/>
              <w:bottom w:w="65" w:type="dxa"/>
              <w:end w:w="75" w:type="dxa"/>
            </w:tcMar>
            <w:vAlign w:val="top"/>
          </w:tcPr>
          <w:p>
            <w:pPr>
              <w:keepLines/>
              <w:spacing w:after="0"/>
            </w:pPr>
            <w:r>
              <w:t>Documento</w:t>
            </w:r>
          </w:p>
        </w:tc>
        <w:tc>
          <w:tcPr>
            <w:tcW w:type="dxa" w:w="7632"/>
            <w:tcMar>
              <w:top w:w="65" w:type="dxa"/>
              <w:start w:w="75" w:type="dxa"/>
              <w:bottom w:w="65" w:type="dxa"/>
              <w:end w:w="75" w:type="dxa"/>
            </w:tcMar>
            <w:vAlign w:val="top"/>
          </w:tcPr>
          <w:p>
            <w:pPr>
              <w:keepLines/>
              <w:spacing w:after="0"/>
            </w:pPr>
            <w:r>
              <w:t>Documento Técnico Oficial — PIIO</w:t>
            </w:r>
          </w:p>
        </w:tc>
      </w:tr>
      <w:tr>
        <w:trPr>
          <w:trHeight w:hRule="atLeast"/>
        </w:trPr>
        <w:tc>
          <w:tcPr>
            <w:tcW w:type="dxa" w:w="2448"/>
            <w:tcMar>
              <w:top w:w="65" w:type="dxa"/>
              <w:start w:w="75" w:type="dxa"/>
              <w:bottom w:w="65" w:type="dxa"/>
              <w:end w:w="75" w:type="dxa"/>
            </w:tcMar>
            <w:vAlign w:val="top"/>
          </w:tcPr>
          <w:p>
            <w:pPr>
              <w:keepLines/>
              <w:spacing w:after="0"/>
            </w:pPr>
            <w:r>
              <w:t>Versión</w:t>
            </w:r>
          </w:p>
        </w:tc>
        <w:tc>
          <w:tcPr>
            <w:tcW w:type="dxa" w:w="7632"/>
            <w:tcMar>
              <w:top w:w="65" w:type="dxa"/>
              <w:start w:w="75" w:type="dxa"/>
              <w:bottom w:w="65" w:type="dxa"/>
              <w:end w:w="75" w:type="dxa"/>
            </w:tcMar>
            <w:vAlign w:val="top"/>
          </w:tcPr>
          <w:p>
            <w:pPr>
              <w:keepLines/>
              <w:spacing w:after="0"/>
            </w:pPr>
            <w:r>
              <w:t>1.1 FINAL</w:t>
            </w:r>
          </w:p>
        </w:tc>
      </w:tr>
      <w:tr>
        <w:trPr>
          <w:trHeight w:hRule="atLeast"/>
        </w:trPr>
        <w:tc>
          <w:tcPr>
            <w:tcW w:type="dxa" w:w="2448"/>
            <w:tcMar>
              <w:top w:w="65" w:type="dxa"/>
              <w:start w:w="75" w:type="dxa"/>
              <w:bottom w:w="65" w:type="dxa"/>
              <w:end w:w="75" w:type="dxa"/>
            </w:tcMar>
            <w:vAlign w:val="top"/>
          </w:tcPr>
          <w:p>
            <w:pPr>
              <w:keepLines/>
              <w:spacing w:after="0"/>
            </w:pPr>
            <w:r>
              <w:t>Estado</w:t>
            </w:r>
          </w:p>
        </w:tc>
        <w:tc>
          <w:tcPr>
            <w:tcW w:type="dxa" w:w="7632"/>
            <w:tcMar>
              <w:top w:w="65" w:type="dxa"/>
              <w:start w:w="75" w:type="dxa"/>
              <w:bottom w:w="65" w:type="dxa"/>
              <w:end w:w="75" w:type="dxa"/>
            </w:tcMar>
            <w:vAlign w:val="top"/>
          </w:tcPr>
          <w:p>
            <w:pPr>
              <w:keepLines/>
              <w:spacing w:after="0"/>
            </w:pPr>
            <w:r>
              <w:t>Cerrado para implementación y pilotaje técnico</w:t>
            </w:r>
          </w:p>
        </w:tc>
      </w:tr>
      <w:tr>
        <w:trPr>
          <w:trHeight w:hRule="atLeast"/>
        </w:trPr>
        <w:tc>
          <w:tcPr>
            <w:tcW w:type="dxa" w:w="2448"/>
            <w:tcMar>
              <w:top w:w="65" w:type="dxa"/>
              <w:start w:w="75" w:type="dxa"/>
              <w:bottom w:w="65" w:type="dxa"/>
              <w:end w:w="75" w:type="dxa"/>
            </w:tcMar>
            <w:vAlign w:val="top"/>
          </w:tcPr>
          <w:p>
            <w:pPr>
              <w:keepLines/>
              <w:spacing w:after="0"/>
            </w:pPr>
            <w:r>
              <w:t>Instrumento</w:t>
            </w:r>
          </w:p>
        </w:tc>
        <w:tc>
          <w:tcPr>
            <w:tcW w:type="dxa" w:w="7632"/>
            <w:tcMar>
              <w:top w:w="65" w:type="dxa"/>
              <w:start w:w="75" w:type="dxa"/>
              <w:bottom w:w="65" w:type="dxa"/>
              <w:end w:w="75" w:type="dxa"/>
            </w:tcMar>
            <w:vAlign w:val="top"/>
          </w:tcPr>
          <w:p>
            <w:pPr>
              <w:keepLines/>
              <w:spacing w:after="0"/>
            </w:pPr>
            <w:r>
              <w:t>PIIO — Panel de Indicadores de Impacto Operativo</w:t>
            </w:r>
          </w:p>
        </w:tc>
      </w:tr>
      <w:tr>
        <w:trPr>
          <w:trHeight w:hRule="atLeast"/>
        </w:trPr>
        <w:tc>
          <w:tcPr>
            <w:tcW w:type="dxa" w:w="2448"/>
            <w:tcMar>
              <w:top w:w="65" w:type="dxa"/>
              <w:start w:w="75" w:type="dxa"/>
              <w:bottom w:w="65" w:type="dxa"/>
              <w:end w:w="75" w:type="dxa"/>
            </w:tcMar>
            <w:vAlign w:val="top"/>
          </w:tcPr>
          <w:p>
            <w:pPr>
              <w:keepLines/>
              <w:spacing w:after="0"/>
            </w:pPr>
            <w:r>
              <w:t>Salida canónica</w:t>
            </w:r>
          </w:p>
        </w:tc>
        <w:tc>
          <w:tcPr>
            <w:tcW w:type="dxa" w:w="7632"/>
            <w:tcMar>
              <w:top w:w="65" w:type="dxa"/>
              <w:start w:w="75" w:type="dxa"/>
              <w:bottom w:w="65" w:type="dxa"/>
              <w:end w:w="75" w:type="dxa"/>
            </w:tcMar>
            <w:vAlign w:val="top"/>
          </w:tcPr>
          <w:p>
            <w:pPr>
              <w:keepLines/>
              <w:spacing w:after="0"/>
            </w:pPr>
            <w:r>
              <w:t>EFO — Evidencia de Funcionamiento Operativo</w:t>
            </w:r>
          </w:p>
        </w:tc>
      </w:tr>
      <w:tr>
        <w:trPr>
          <w:trHeight w:hRule="atLeast"/>
        </w:trPr>
        <w:tc>
          <w:tcPr>
            <w:tcW w:type="dxa" w:w="2448"/>
            <w:tcMar>
              <w:top w:w="65" w:type="dxa"/>
              <w:start w:w="75" w:type="dxa"/>
              <w:bottom w:w="65" w:type="dxa"/>
              <w:end w:w="75" w:type="dxa"/>
            </w:tcMar>
            <w:vAlign w:val="top"/>
          </w:tcPr>
          <w:p>
            <w:pPr>
              <w:keepLines/>
              <w:spacing w:after="0"/>
            </w:pPr>
            <w:r>
              <w:t>Arquitectura</w:t>
            </w:r>
          </w:p>
        </w:tc>
        <w:tc>
          <w:tcPr>
            <w:tcW w:type="dxa" w:w="7632"/>
            <w:tcMar>
              <w:top w:w="65" w:type="dxa"/>
              <w:start w:w="75" w:type="dxa"/>
              <w:bottom w:w="65" w:type="dxa"/>
              <w:end w:w="75" w:type="dxa"/>
            </w:tcMar>
            <w:vAlign w:val="top"/>
          </w:tcPr>
          <w:p>
            <w:pPr>
              <w:keepLines/>
              <w:spacing w:after="0"/>
            </w:pPr>
            <w:r>
              <w:t>PIIO → EFO → AIE → Estado EFICIENCIA</w:t>
            </w:r>
          </w:p>
        </w:tc>
      </w:tr>
      <w:tr>
        <w:trPr>
          <w:trHeight w:hRule="atLeast"/>
        </w:trPr>
        <w:tc>
          <w:tcPr>
            <w:tcW w:type="dxa" w:w="2448"/>
            <w:tcMar>
              <w:top w:w="65" w:type="dxa"/>
              <w:start w:w="75" w:type="dxa"/>
              <w:bottom w:w="65" w:type="dxa"/>
              <w:end w:w="75" w:type="dxa"/>
            </w:tcMar>
            <w:vAlign w:val="top"/>
          </w:tcPr>
          <w:p>
            <w:pPr>
              <w:keepLines/>
              <w:spacing w:after="0"/>
            </w:pPr>
            <w:r>
              <w:t>Interoperabilidad</w:t>
            </w:r>
          </w:p>
        </w:tc>
        <w:tc>
          <w:tcPr>
            <w:tcW w:type="dxa" w:w="7632"/>
            <w:tcMar>
              <w:top w:w="65" w:type="dxa"/>
              <w:start w:w="75" w:type="dxa"/>
              <w:bottom w:w="65" w:type="dxa"/>
              <w:end w:w="75" w:type="dxa"/>
            </w:tcMar>
            <w:vAlign w:val="top"/>
          </w:tcPr>
          <w:p>
            <w:pPr>
              <w:keepLines/>
              <w:spacing w:after="0"/>
            </w:pPr>
            <w:r>
              <w:t>PIIO aporta fenómenos, métricas, exposición, nodos y evidencia operacional a CFF e IFD; no realiza monetización ni proyección financiera.</w:t>
            </w:r>
          </w:p>
        </w:tc>
      </w:tr>
      <w:tr>
        <w:trPr>
          <w:trHeight w:hRule="atLeast"/>
        </w:trPr>
        <w:tc>
          <w:tcPr>
            <w:tcW w:type="dxa" w:w="2448"/>
            <w:tcMar>
              <w:top w:w="65" w:type="dxa"/>
              <w:start w:w="75" w:type="dxa"/>
              <w:bottom w:w="65" w:type="dxa"/>
              <w:end w:w="75" w:type="dxa"/>
            </w:tcMar>
            <w:vAlign w:val="top"/>
          </w:tcPr>
          <w:p>
            <w:pPr>
              <w:keepLines/>
              <w:spacing w:after="0"/>
            </w:pPr>
            <w:r>
              <w:t>Sustituye</w:t>
            </w:r>
          </w:p>
        </w:tc>
        <w:tc>
          <w:tcPr>
            <w:tcW w:type="dxa" w:w="7632"/>
            <w:tcMar>
              <w:top w:w="65" w:type="dxa"/>
              <w:start w:w="75" w:type="dxa"/>
              <w:bottom w:w="65" w:type="dxa"/>
              <w:end w:w="75" w:type="dxa"/>
            </w:tcMar>
            <w:vAlign w:val="top"/>
          </w:tcPr>
          <w:p>
            <w:pPr>
              <w:keepLines/>
              <w:spacing w:after="0"/>
            </w:pPr>
            <w:r>
              <w:t>PIIO v1.0 FINAL. La v1.1 conserva el núcleo conceptual y depura contratos, estados, temporalidad, nodos, cobertura, versionamiento, fallos, trazabilidad e interoperabilidad.</w:t>
            </w:r>
          </w:p>
        </w:tc>
      </w:tr>
    </w:tbl>
    <w:p>
      <w:pPr>
        <w:spacing w:after="20"/>
      </w:pPr>
    </w:p>
    <w:p>
      <w:pPr>
        <w:pStyle w:val="Heading1"/>
      </w:pPr>
      <w:r>
        <w:t>1. Definición, propósito y función</w:t>
      </w:r>
    </w:p>
    <w:p>
      <w:pPr>
        <w:pStyle w:val="Heading2"/>
      </w:pPr>
      <w:r>
        <w:t>1.1 Definición canónica</w:t>
      </w:r>
    </w:p>
    <w:p>
      <w:r>
        <w:t>Panel de Indicadores de Impacto Operativo (PIIO): instrumento de EFICIENCIA que organiza, valida y analiza indicadores objetivos del funcionamiento organizacional para identificar su posición, trayectoria, persistencia y distribución, y convertir esa evidencia en la Evidencia de Funcionamiento Operativo utilizada por el AIE.</w:t>
      </w:r>
    </w:p>
    <w:p>
      <w:pPr>
        <w:pStyle w:val="Heading2"/>
      </w:pPr>
      <w:r>
        <w:t>1.2 EFO</w:t>
      </w:r>
    </w:p>
    <w:p>
      <w:r>
        <w:t>Evidencia de Funcionamiento Operativo (EFO): lectura estructurada producida por PIIO a partir de indicadores operativos admisibles, que caracteriza la posición y dinámica observables del funcionamiento de la Organización para su integración con las demás familias de evidencia en el AIE.</w:t>
      </w:r>
    </w:p>
    <w:p>
      <w:pPr>
        <w:pStyle w:val="Heading2"/>
      </w:pPr>
      <w:r>
        <w:t>1.3 Propósito</w:t>
      </w:r>
    </w:p>
    <w:p>
      <w:r>
        <w:t>Producir evidencia operacional estructurada, localizable, temporalmente comparable y trazable que permita observar cómo está funcionando la Organización sin confundir indicadores con causas, sin compensar deterioros mediante promedios y sin convertir ausencia de datos en favorabilidad.</w:t>
      </w:r>
    </w:p>
    <w:p>
      <w:pPr>
        <w:pStyle w:val="Heading2"/>
      </w:pPr>
      <w:r>
        <w:t>1.4 Función</w:t>
      </w:r>
    </w:p>
    <w:p>
      <w:r>
        <w:t>Organizar observaciones y KPI en fenómenos y dominios canónicos, controlar independencia de evidencia, resolver posición, trayectoria, persistencia, cobertura, admisibilidad, vigencia y alcance por nodo, y entregar EFO al AIE preservando perfiles explicativos.</w:t>
      </w:r>
    </w:p>
    <w:p>
      <w:pPr>
        <w:spacing w:before="100" w:after="140"/>
        <w:ind w:left="360" w:right="288"/>
      </w:pPr>
      <w:r>
        <w:rPr>
          <w:b/>
        </w:rPr>
        <w:t>PIIO observa funcionamiento. EFO estructura evidencia. AIE integra. CFF monetiza. IFD proyecta.</w:t>
      </w:r>
    </w:p>
    <w:p>
      <w:pPr>
        <w:pStyle w:val="Heading1"/>
      </w:pPr>
      <w:r>
        <w:t>2. Lugar de PIIO en EFICIENCIA</w:t>
      </w:r>
    </w:p>
    <w:p>
      <w:pPr>
        <w:jc w:val="center"/>
      </w:pPr>
      <w:r>
        <w:rPr>
          <w:b/>
        </w:rPr>
        <w:t>ICE–IEH → CFG     SDMO → DYN     PIIO → EFO</w:t>
      </w:r>
    </w:p>
    <w:p>
      <w:pPr>
        <w:jc w:val="center"/>
      </w:pPr>
      <w:r>
        <w:rPr>
          <w:b/>
        </w:rPr>
        <w:t>CFG + DYN + EFO → AIE → Estado EFICIENCIA</w:t>
      </w:r>
    </w:p>
    <w:p>
      <w:r>
        <w:t>PIIO constituye la familia operacional del diagnóstico integrado. No mide experiencia humana, no infiere directamente Modo Operativo humano y no determina por sí mismo el Estado EFICIENCIA.</w:t>
      </w:r>
    </w:p>
    <w:p>
      <w:r>
        <w:t>PIIO también funciona como fuente operacional aguas arriba de CFF e IFD. Esa interoperabilidad no altera su función diagnóstica: los datos se reutilizan, pero la lógica económica permanece fuera de PIIO.</w:t>
      </w:r>
    </w:p>
    <w:p>
      <w:pPr>
        <w:jc w:val="center"/>
      </w:pPr>
      <w:r>
        <w:rPr>
          <w:b/>
        </w:rPr>
        <w:t>PIIO → fenómenos / métricas / exposición / nodos → CFF e IFD</w:t>
      </w:r>
    </w:p>
    <w:p>
      <w:pPr>
        <w:jc w:val="center"/>
      </w:pPr>
      <w:r>
        <w:rPr>
          <w:b/>
        </w:rPr>
        <w:t>PIIO ↛ costo financiero     PIIO ↛ ROI     PIIO ↛ TRE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2F3"/>
            <w:tcMar>
              <w:top w:w="65" w:type="dxa"/>
              <w:start w:w="75" w:type="dxa"/>
              <w:bottom w:w="65" w:type="dxa"/>
              <w:end w:w="75" w:type="dxa"/>
            </w:tcMar>
          </w:tcPr>
          <w:p>
            <w:pPr>
              <w:spacing w:after="0"/>
            </w:pPr>
            <w:r>
              <w:rPr>
                <w:b/>
              </w:rPr>
              <w:t>Componente</w:t>
            </w:r>
          </w:p>
        </w:tc>
        <w:tc>
          <w:tcPr>
            <w:tcW w:type="dxa" w:w="7776"/>
            <w:shd w:fill="D9E2F3"/>
            <w:tcMar>
              <w:top w:w="65" w:type="dxa"/>
              <w:start w:w="75" w:type="dxa"/>
              <w:bottom w:w="65" w:type="dxa"/>
              <w:end w:w="75" w:type="dxa"/>
            </w:tcMar>
          </w:tcPr>
          <w:p>
            <w:pPr>
              <w:spacing w:after="0"/>
            </w:pPr>
            <w:r>
              <w:rPr>
                <w:b/>
              </w:rPr>
              <w:t>Relación con PIIO</w:t>
            </w:r>
          </w:p>
        </w:tc>
      </w:tr>
      <w:tr>
        <w:trPr>
          <w:trHeight w:hRule="atLeast"/>
        </w:trPr>
        <w:tc>
          <w:tcPr>
            <w:tcW w:type="dxa" w:w="2304"/>
            <w:tcMar>
              <w:top w:w="65" w:type="dxa"/>
              <w:start w:w="75" w:type="dxa"/>
              <w:bottom w:w="65" w:type="dxa"/>
              <w:end w:w="75" w:type="dxa"/>
            </w:tcMar>
            <w:vAlign w:val="top"/>
          </w:tcPr>
          <w:p>
            <w:pPr>
              <w:keepLines/>
              <w:spacing w:after="0"/>
            </w:pPr>
            <w:r>
              <w:t>ICE–IEH / CFG</w:t>
            </w:r>
          </w:p>
        </w:tc>
        <w:tc>
          <w:tcPr>
            <w:tcW w:type="dxa" w:w="7776"/>
            <w:tcMar>
              <w:top w:w="65" w:type="dxa"/>
              <w:start w:w="75" w:type="dxa"/>
              <w:bottom w:w="65" w:type="dxa"/>
              <w:end w:w="75" w:type="dxa"/>
            </w:tcMar>
            <w:vAlign w:val="top"/>
          </w:tcPr>
          <w:p>
            <w:pPr>
              <w:keepLines/>
              <w:spacing w:after="0"/>
            </w:pPr>
            <w:r>
              <w:t>Familia distinta; PIIO no reinterpreta experiencia ni estructura.</w:t>
            </w:r>
          </w:p>
        </w:tc>
      </w:tr>
      <w:tr>
        <w:trPr>
          <w:trHeight w:hRule="atLeast"/>
        </w:trPr>
        <w:tc>
          <w:tcPr>
            <w:tcW w:type="dxa" w:w="2304"/>
            <w:tcMar>
              <w:top w:w="65" w:type="dxa"/>
              <w:start w:w="75" w:type="dxa"/>
              <w:bottom w:w="65" w:type="dxa"/>
              <w:end w:w="75" w:type="dxa"/>
            </w:tcMar>
            <w:vAlign w:val="top"/>
          </w:tcPr>
          <w:p>
            <w:pPr>
              <w:keepLines/>
              <w:spacing w:after="0"/>
            </w:pPr>
            <w:r>
              <w:t>SDMO / DYN</w:t>
            </w:r>
          </w:p>
        </w:tc>
        <w:tc>
          <w:tcPr>
            <w:tcW w:type="dxa" w:w="7776"/>
            <w:tcMar>
              <w:top w:w="65" w:type="dxa"/>
              <w:start w:w="75" w:type="dxa"/>
              <w:bottom w:w="65" w:type="dxa"/>
              <w:end w:w="75" w:type="dxa"/>
            </w:tcMar>
            <w:vAlign w:val="top"/>
          </w:tcPr>
          <w:p>
            <w:pPr>
              <w:keepLines/>
              <w:spacing w:after="0"/>
            </w:pPr>
            <w:r>
              <w:t>Familia distinta; PIIO no convierte conducta operativa en estado humano.</w:t>
            </w:r>
          </w:p>
        </w:tc>
      </w:tr>
      <w:tr>
        <w:trPr>
          <w:trHeight w:hRule="atLeast"/>
        </w:trPr>
        <w:tc>
          <w:tcPr>
            <w:tcW w:type="dxa" w:w="2304"/>
            <w:tcMar>
              <w:top w:w="65" w:type="dxa"/>
              <w:start w:w="75" w:type="dxa"/>
              <w:bottom w:w="65" w:type="dxa"/>
              <w:end w:w="75" w:type="dxa"/>
            </w:tcMar>
            <w:vAlign w:val="top"/>
          </w:tcPr>
          <w:p>
            <w:pPr>
              <w:keepLines/>
              <w:spacing w:after="0"/>
            </w:pPr>
            <w:r>
              <w:t>AIE</w:t>
            </w:r>
          </w:p>
        </w:tc>
        <w:tc>
          <w:tcPr>
            <w:tcW w:type="dxa" w:w="7776"/>
            <w:tcMar>
              <w:top w:w="65" w:type="dxa"/>
              <w:start w:w="75" w:type="dxa"/>
              <w:bottom w:w="65" w:type="dxa"/>
              <w:end w:w="75" w:type="dxa"/>
            </w:tcMar>
            <w:vAlign w:val="top"/>
          </w:tcPr>
          <w:p>
            <w:pPr>
              <w:keepLines/>
              <w:spacing w:after="0"/>
            </w:pPr>
            <w:r>
              <w:t>Recibe EFO; AIE no reimplementa PIIO.</w:t>
            </w:r>
          </w:p>
        </w:tc>
      </w:tr>
      <w:tr>
        <w:trPr>
          <w:trHeight w:hRule="atLeast"/>
        </w:trPr>
        <w:tc>
          <w:tcPr>
            <w:tcW w:type="dxa" w:w="2304"/>
            <w:tcMar>
              <w:top w:w="65" w:type="dxa"/>
              <w:start w:w="75" w:type="dxa"/>
              <w:bottom w:w="65" w:type="dxa"/>
              <w:end w:w="75" w:type="dxa"/>
            </w:tcMar>
            <w:vAlign w:val="top"/>
          </w:tcPr>
          <w:p>
            <w:pPr>
              <w:keepLines/>
              <w:spacing w:after="0"/>
            </w:pPr>
            <w:r>
              <w:t>CFF</w:t>
            </w:r>
          </w:p>
        </w:tc>
        <w:tc>
          <w:tcPr>
            <w:tcW w:type="dxa" w:w="7776"/>
            <w:tcMar>
              <w:top w:w="65" w:type="dxa"/>
              <w:start w:w="75" w:type="dxa"/>
              <w:bottom w:w="65" w:type="dxa"/>
              <w:end w:w="75" w:type="dxa"/>
            </w:tcMar>
            <w:vAlign w:val="top"/>
          </w:tcPr>
          <w:p>
            <w:pPr>
              <w:keepLines/>
              <w:spacing w:after="0"/>
            </w:pPr>
            <w:r>
              <w:t>Puede consumir fenómenos, eventos, exposición y datos operativos trazables; monetiza fuera de PIIO.</w:t>
            </w:r>
          </w:p>
        </w:tc>
      </w:tr>
      <w:tr>
        <w:trPr>
          <w:trHeight w:hRule="atLeast"/>
        </w:trPr>
        <w:tc>
          <w:tcPr>
            <w:tcW w:type="dxa" w:w="2304"/>
            <w:tcMar>
              <w:top w:w="65" w:type="dxa"/>
              <w:start w:w="75" w:type="dxa"/>
              <w:bottom w:w="65" w:type="dxa"/>
              <w:end w:w="75" w:type="dxa"/>
            </w:tcMar>
            <w:vAlign w:val="top"/>
          </w:tcPr>
          <w:p>
            <w:pPr>
              <w:keepLines/>
              <w:spacing w:after="0"/>
            </w:pPr>
            <w:r>
              <w:t>IFD</w:t>
            </w:r>
          </w:p>
        </w:tc>
        <w:tc>
          <w:tcPr>
            <w:tcW w:type="dxa" w:w="7776"/>
            <w:tcMar>
              <w:top w:w="65" w:type="dxa"/>
              <w:start w:w="75" w:type="dxa"/>
              <w:bottom w:w="65" w:type="dxa"/>
              <w:end w:w="75" w:type="dxa"/>
            </w:tcMar>
            <w:vAlign w:val="top"/>
          </w:tcPr>
          <w:p>
            <w:pPr>
              <w:keepLines/>
              <w:spacing w:after="0"/>
            </w:pPr>
            <w:r>
              <w:t>Puede reutilizar phenomenon_id, metric_definition, exposure y node_id; proyecta fuera de PIIO.</w:t>
            </w:r>
          </w:p>
        </w:tc>
      </w:tr>
    </w:tbl>
    <w:p>
      <w:pPr>
        <w:spacing w:after="20"/>
      </w:pPr>
    </w:p>
    <w:p>
      <w:pPr>
        <w:pStyle w:val="Heading1"/>
      </w:pPr>
      <w:r>
        <w:t>3. Fronteras obligatorias</w:t>
      </w:r>
    </w:p>
    <w:p>
      <w:pPr>
        <w:pStyle w:val="ListBullet"/>
      </w:pPr>
      <w:r>
        <w:t>KPI ≠ fenómeno.</w:t>
      </w:r>
    </w:p>
    <w:p>
      <w:pPr>
        <w:pStyle w:val="ListBullet"/>
      </w:pPr>
      <w:r>
        <w:t>Fenómeno ≠ dominio.</w:t>
      </w:r>
    </w:p>
    <w:p>
      <w:pPr>
        <w:pStyle w:val="ListBullet"/>
      </w:pPr>
      <w:r>
        <w:t>Indicador ≠ evidencia independiente.</w:t>
      </w:r>
    </w:p>
    <w:p>
      <w:pPr>
        <w:pStyle w:val="ListBullet"/>
      </w:pPr>
      <w:r>
        <w:t>Posición ≠ trayectoria.</w:t>
      </w:r>
    </w:p>
    <w:p>
      <w:pPr>
        <w:pStyle w:val="ListBullet"/>
      </w:pPr>
      <w:r>
        <w:t>Persistencia ≠ trayectoria.</w:t>
      </w:r>
    </w:p>
    <w:p>
      <w:pPr>
        <w:pStyle w:val="ListBullet"/>
      </w:pPr>
      <w:r>
        <w:t>Estabilidad histórica ≠ condición favorable.</w:t>
      </w:r>
    </w:p>
    <w:p>
      <w:pPr>
        <w:pStyle w:val="ListBullet"/>
      </w:pPr>
      <w:r>
        <w:t>Ausencia de datos ≠ favorabilidad.</w:t>
      </w:r>
    </w:p>
    <w:p>
      <w:pPr>
        <w:pStyle w:val="ListBullet"/>
      </w:pPr>
      <w:r>
        <w:t>N/A ≠ I.</w:t>
      </w:r>
    </w:p>
    <w:p>
      <w:pPr>
        <w:pStyle w:val="ListBullet"/>
      </w:pPr>
      <w:r>
        <w:t>Deterioration_present ≠ EFO_pos.</w:t>
      </w:r>
    </w:p>
    <w:p>
      <w:pPr>
        <w:pStyle w:val="ListBullet"/>
      </w:pPr>
      <w:r>
        <w:t>EFO ≠ Estado EFICIENCIA.</w:t>
      </w:r>
    </w:p>
    <w:p>
      <w:pPr>
        <w:pStyle w:val="ListBullet"/>
      </w:pPr>
      <w:r>
        <w:t>PIIO ≠ CFF.</w:t>
      </w:r>
    </w:p>
    <w:p>
      <w:pPr>
        <w:pStyle w:val="ListBullet"/>
      </w:pPr>
      <w:r>
        <w:t>PIIO ≠ IFD.</w:t>
      </w:r>
    </w:p>
    <w:p>
      <w:pPr>
        <w:pStyle w:val="ListBullet"/>
      </w:pPr>
      <w:r>
        <w:t>Resultado operacional ≠ costo.</w:t>
      </w:r>
    </w:p>
    <w:p>
      <w:pPr>
        <w:pStyle w:val="ListBullet"/>
      </w:pPr>
      <w:r>
        <w:t>Correlación entre KPI ≠ causalidad.</w:t>
      </w:r>
    </w:p>
    <w:p>
      <w:pPr>
        <w:pStyle w:val="ListBullet"/>
      </w:pPr>
      <w:r>
        <w:t>NODE_CONCENTRATION y POLARIZATION pertenecen a AIE; PIIO preserva el perfil, no duplica los modificadores.</w:t>
      </w:r>
    </w:p>
    <w:p>
      <w:pPr>
        <w:pStyle w:val="Heading1"/>
      </w:pPr>
      <w:r>
        <w:t>4. Cadena inferencial canónica</w:t>
      </w:r>
    </w:p>
    <w:p>
      <w:pPr>
        <w:jc w:val="center"/>
      </w:pPr>
      <w:r>
        <w:rPr>
          <w:b/>
        </w:rPr>
        <w:t>OBSERVACIÓN → KPI_STATE → EVIDENCE_GROUP → PHENOMENON_STATE → DOMAIN_STATE → EFO_STATE → AIE</w:t>
      </w:r>
    </w:p>
    <w:p>
      <w:r>
        <w:t>Cada nivel agrega significado operacional sin borrar el nivel anterior. El valor original permanece disponible; la clasificación no lo sustituye. La lógica es determinista y no utiliza promedios ni pesos universales.</w:t>
      </w:r>
    </w:p>
    <w:p>
      <w:pPr>
        <w:pStyle w:val="Heading2"/>
      </w:pPr>
      <w:r>
        <w:t>4.1 Ruta inferencial principal</w:t>
      </w:r>
    </w:p>
    <w:p>
      <w:r>
        <w:t>Cada KPI tiene un único fenómeno primario y un único dominio primario. Etiquetas secundarias pueden existir para búsqueda o análisis, pero no crean votos adicionales ni rutas inferenciales paralelas.</w:t>
      </w:r>
    </w:p>
    <w:p>
      <w:pPr>
        <w:pStyle w:val="Heading2"/>
      </w:pPr>
      <w:r>
        <w:t>4.2 Separación dato–clasificación–suficiencia</w:t>
      </w:r>
    </w:p>
    <w:p>
      <w:pPr>
        <w:jc w:val="center"/>
      </w:pPr>
      <w:r>
        <w:rPr>
          <w:b/>
        </w:rPr>
        <w:t>VALOR OBSERVADO ≠ POSICIÓN ≠ ADMISIBILIDAD ≠ COBERTURA</w:t>
      </w:r>
    </w:p>
    <w:p>
      <w:r>
        <w:t>Un KPI puede tener valor observado válido y no ser clasificable; un fenómeno puede mostrar posición observable con cobertura parcial; una EFO puede conservar deterioro localizado aun cuando su posición integrada sea I.</w:t>
      </w:r>
    </w:p>
    <w:p>
      <w:pPr>
        <w:pStyle w:val="Heading1"/>
      </w:pPr>
      <w:r>
        <w:t>5. Taxonomía canónica de dominios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2F3"/>
            <w:tcMar>
              <w:top w:w="65" w:type="dxa"/>
              <w:start w:w="75" w:type="dxa"/>
              <w:bottom w:w="65" w:type="dxa"/>
              <w:end w:w="75" w:type="dxa"/>
            </w:tcMar>
          </w:tcPr>
          <w:p>
            <w:pPr>
              <w:spacing w:after="0"/>
            </w:pPr>
            <w:r>
              <w:rPr>
                <w:b/>
              </w:rPr>
              <w:t>Dominio</w:t>
            </w:r>
          </w:p>
        </w:tc>
        <w:tc>
          <w:tcPr>
            <w:tcW w:type="dxa" w:w="7200"/>
            <w:shd w:fill="D9E2F3"/>
            <w:tcMar>
              <w:top w:w="65" w:type="dxa"/>
              <w:start w:w="75" w:type="dxa"/>
              <w:bottom w:w="65" w:type="dxa"/>
              <w:end w:w="75" w:type="dxa"/>
            </w:tcMar>
          </w:tcPr>
          <w:p>
            <w:pPr>
              <w:spacing w:after="0"/>
            </w:pPr>
            <w:r>
              <w:rPr>
                <w:b/>
              </w:rPr>
              <w:t>Definición operativa</w:t>
            </w:r>
          </w:p>
        </w:tc>
      </w:tr>
      <w:tr>
        <w:trPr>
          <w:trHeight w:hRule="atLeast"/>
        </w:trPr>
        <w:tc>
          <w:tcPr>
            <w:tcW w:type="dxa" w:w="2880"/>
            <w:tcMar>
              <w:top w:w="65" w:type="dxa"/>
              <w:start w:w="75" w:type="dxa"/>
              <w:bottom w:w="65" w:type="dxa"/>
              <w:end w:w="75" w:type="dxa"/>
            </w:tcMar>
            <w:vAlign w:val="top"/>
          </w:tcPr>
          <w:p>
            <w:pPr>
              <w:keepLines/>
              <w:spacing w:after="0"/>
            </w:pPr>
            <w:r>
              <w:t>PRODUCTIVITY</w:t>
            </w:r>
          </w:p>
        </w:tc>
        <w:tc>
          <w:tcPr>
            <w:tcW w:type="dxa" w:w="7200"/>
            <w:tcMar>
              <w:top w:w="65" w:type="dxa"/>
              <w:start w:w="75" w:type="dxa"/>
              <w:bottom w:w="65" w:type="dxa"/>
              <w:end w:w="75" w:type="dxa"/>
            </w:tcMar>
            <w:vAlign w:val="top"/>
          </w:tcPr>
          <w:p>
            <w:pPr>
              <w:keepLines/>
              <w:spacing w:after="0"/>
            </w:pPr>
            <w:r>
              <w:t>Resultado producido respecto de la capacidad operacional utilizada.</w:t>
            </w:r>
          </w:p>
        </w:tc>
      </w:tr>
      <w:tr>
        <w:trPr>
          <w:trHeight w:hRule="atLeast"/>
        </w:trPr>
        <w:tc>
          <w:tcPr>
            <w:tcW w:type="dxa" w:w="2880"/>
            <w:tcMar>
              <w:top w:w="65" w:type="dxa"/>
              <w:start w:w="75" w:type="dxa"/>
              <w:bottom w:w="65" w:type="dxa"/>
              <w:end w:w="75" w:type="dxa"/>
            </w:tcMar>
            <w:vAlign w:val="top"/>
          </w:tcPr>
          <w:p>
            <w:pPr>
              <w:keepLines/>
              <w:spacing w:after="0"/>
            </w:pPr>
            <w:r>
              <w:t>QUALITY</w:t>
            </w:r>
          </w:p>
        </w:tc>
        <w:tc>
          <w:tcPr>
            <w:tcW w:type="dxa" w:w="7200"/>
            <w:tcMar>
              <w:top w:w="65" w:type="dxa"/>
              <w:start w:w="75" w:type="dxa"/>
              <w:bottom w:w="65" w:type="dxa"/>
              <w:end w:w="75" w:type="dxa"/>
            </w:tcMar>
            <w:vAlign w:val="top"/>
          </w:tcPr>
          <w:p>
            <w:pPr>
              <w:keepLines/>
              <w:spacing w:after="0"/>
            </w:pPr>
            <w:r>
              <w:t>Conformidad del resultado con requisitos, condiciones o especificaciones aplicables.</w:t>
            </w:r>
          </w:p>
        </w:tc>
      </w:tr>
      <w:tr>
        <w:trPr>
          <w:trHeight w:hRule="atLeast"/>
        </w:trPr>
        <w:tc>
          <w:tcPr>
            <w:tcW w:type="dxa" w:w="2880"/>
            <w:tcMar>
              <w:top w:w="65" w:type="dxa"/>
              <w:start w:w="75" w:type="dxa"/>
              <w:bottom w:w="65" w:type="dxa"/>
              <w:end w:w="75" w:type="dxa"/>
            </w:tcMar>
            <w:vAlign w:val="top"/>
          </w:tcPr>
          <w:p>
            <w:pPr>
              <w:keepLines/>
              <w:spacing w:after="0"/>
            </w:pPr>
            <w:r>
              <w:t>COMPLIANCE</w:t>
            </w:r>
          </w:p>
        </w:tc>
        <w:tc>
          <w:tcPr>
            <w:tcW w:type="dxa" w:w="7200"/>
            <w:tcMar>
              <w:top w:w="65" w:type="dxa"/>
              <w:start w:w="75" w:type="dxa"/>
              <w:bottom w:w="65" w:type="dxa"/>
              <w:end w:w="75" w:type="dxa"/>
            </w:tcMar>
            <w:vAlign w:val="top"/>
          </w:tcPr>
          <w:p>
            <w:pPr>
              <w:keepLines/>
              <w:spacing w:after="0"/>
            </w:pPr>
            <w:r>
              <w:t>Grado en que la operación entrega lo comprometido dentro de las condiciones acordadas.</w:t>
            </w:r>
          </w:p>
        </w:tc>
      </w:tr>
      <w:tr>
        <w:trPr>
          <w:trHeight w:hRule="atLeast"/>
        </w:trPr>
        <w:tc>
          <w:tcPr>
            <w:tcW w:type="dxa" w:w="2880"/>
            <w:tcMar>
              <w:top w:w="65" w:type="dxa"/>
              <w:start w:w="75" w:type="dxa"/>
              <w:bottom w:w="65" w:type="dxa"/>
              <w:end w:w="75" w:type="dxa"/>
            </w:tcMar>
            <w:vAlign w:val="top"/>
          </w:tcPr>
          <w:p>
            <w:pPr>
              <w:keepLines/>
              <w:spacing w:after="0"/>
            </w:pPr>
            <w:r>
              <w:t>OPERATIONAL_CONTINUITY</w:t>
            </w:r>
          </w:p>
        </w:tc>
        <w:tc>
          <w:tcPr>
            <w:tcW w:type="dxa" w:w="7200"/>
            <w:tcMar>
              <w:top w:w="65" w:type="dxa"/>
              <w:start w:w="75" w:type="dxa"/>
              <w:bottom w:w="65" w:type="dxa"/>
              <w:end w:w="75" w:type="dxa"/>
            </w:tcMar>
            <w:vAlign w:val="top"/>
          </w:tcPr>
          <w:p>
            <w:pPr>
              <w:keepLines/>
              <w:spacing w:after="0"/>
            </w:pPr>
            <w:r>
              <w:t>Mantenimiento de disponibilidad y funcionamiento de procesos, sistemas o capacidades requeridas para operar.</w:t>
            </w:r>
          </w:p>
        </w:tc>
      </w:tr>
      <w:tr>
        <w:trPr>
          <w:trHeight w:hRule="atLeast"/>
        </w:trPr>
        <w:tc>
          <w:tcPr>
            <w:tcW w:type="dxa" w:w="2880"/>
            <w:tcMar>
              <w:top w:w="65" w:type="dxa"/>
              <w:start w:w="75" w:type="dxa"/>
              <w:bottom w:w="65" w:type="dxa"/>
              <w:end w:w="75" w:type="dxa"/>
            </w:tcMar>
            <w:vAlign w:val="top"/>
          </w:tcPr>
          <w:p>
            <w:pPr>
              <w:keepLines/>
              <w:spacing w:after="0"/>
            </w:pPr>
            <w:r>
              <w:t>OPERATIONAL_AVAILABILITY</w:t>
            </w:r>
          </w:p>
        </w:tc>
        <w:tc>
          <w:tcPr>
            <w:tcW w:type="dxa" w:w="7200"/>
            <w:tcMar>
              <w:top w:w="65" w:type="dxa"/>
              <w:start w:w="75" w:type="dxa"/>
              <w:bottom w:w="65" w:type="dxa"/>
              <w:end w:w="75" w:type="dxa"/>
            </w:tcMar>
            <w:vAlign w:val="top"/>
          </w:tcPr>
          <w:p>
            <w:pPr>
              <w:keepLines/>
              <w:spacing w:after="0"/>
            </w:pPr>
            <w:r>
              <w:t>Disponibilidad efectiva de la capacidad humana requerida para ejecutar la operación.</w:t>
            </w:r>
          </w:p>
        </w:tc>
      </w:tr>
      <w:tr>
        <w:trPr>
          <w:trHeight w:hRule="atLeast"/>
        </w:trPr>
        <w:tc>
          <w:tcPr>
            <w:tcW w:type="dxa" w:w="2880"/>
            <w:tcMar>
              <w:top w:w="65" w:type="dxa"/>
              <w:start w:w="75" w:type="dxa"/>
              <w:bottom w:w="65" w:type="dxa"/>
              <w:end w:w="75" w:type="dxa"/>
            </w:tcMar>
            <w:vAlign w:val="top"/>
          </w:tcPr>
          <w:p>
            <w:pPr>
              <w:keepLines/>
              <w:spacing w:after="0"/>
            </w:pPr>
            <w:r>
              <w:t>OPERATIONAL_SAFETY</w:t>
            </w:r>
          </w:p>
        </w:tc>
        <w:tc>
          <w:tcPr>
            <w:tcW w:type="dxa" w:w="7200"/>
            <w:tcMar>
              <w:top w:w="65" w:type="dxa"/>
              <w:start w:w="75" w:type="dxa"/>
              <w:bottom w:w="65" w:type="dxa"/>
              <w:end w:w="75" w:type="dxa"/>
            </w:tcMar>
            <w:vAlign w:val="top"/>
          </w:tcPr>
          <w:p>
            <w:pPr>
              <w:keepLines/>
              <w:spacing w:after="0"/>
            </w:pPr>
            <w:r>
              <w:t>Comportamiento observable de eventos operativos que comprometen integridad de Personas, activos o funcionamiento.</w:t>
            </w:r>
          </w:p>
        </w:tc>
      </w:tr>
      <w:tr>
        <w:trPr>
          <w:trHeight w:hRule="atLeast"/>
        </w:trPr>
        <w:tc>
          <w:tcPr>
            <w:tcW w:type="dxa" w:w="2880"/>
            <w:tcMar>
              <w:top w:w="65" w:type="dxa"/>
              <w:start w:w="75" w:type="dxa"/>
              <w:bottom w:w="65" w:type="dxa"/>
              <w:end w:w="75" w:type="dxa"/>
            </w:tcMar>
            <w:vAlign w:val="top"/>
          </w:tcPr>
          <w:p>
            <w:pPr>
              <w:keepLines/>
              <w:spacing w:after="0"/>
            </w:pPr>
            <w:r>
              <w:t>RESOURCE_EFFICIENCY</w:t>
            </w:r>
          </w:p>
        </w:tc>
        <w:tc>
          <w:tcPr>
            <w:tcW w:type="dxa" w:w="7200"/>
            <w:tcMar>
              <w:top w:w="65" w:type="dxa"/>
              <w:start w:w="75" w:type="dxa"/>
              <w:bottom w:w="65" w:type="dxa"/>
              <w:end w:w="75" w:type="dxa"/>
            </w:tcMar>
            <w:vAlign w:val="top"/>
          </w:tcPr>
          <w:p>
            <w:pPr>
              <w:keepLines/>
              <w:spacing w:after="0"/>
            </w:pPr>
            <w:r>
              <w:t>Consumo, aprovechamiento o pérdida de recursos operativos necesarios para producir el resultado.</w:t>
            </w:r>
          </w:p>
        </w:tc>
      </w:tr>
    </w:tbl>
    <w:p>
      <w:pPr>
        <w:spacing w:after="20"/>
      </w:pPr>
    </w:p>
    <w:p>
      <w:r>
        <w:t>Tiempo es una dimensión transversal; Personas no es dominio PIIO; Cliente mezcla fenómenos distintos; Costo pertenece a CFF. Cada dominio se configura como REQUIRED, OPTIONAL o NOT_APPLICABLE para la Organización o nodo correspondiente.</w:t>
      </w:r>
    </w:p>
    <w:p>
      <w:pPr>
        <w:pStyle w:val="Heading1"/>
      </w:pPr>
      <w:r>
        <w:t>6. Modelo canónico de fenómeno</w:t>
      </w:r>
    </w:p>
    <w:p>
      <w:r>
        <w:t>Fenómeno operativo: aspecto específico del funcionamiento organizacional cuya condición puede observarse mediante uno o más indicadores relacionados. Agrupa KPI que representan una misma realidad operacional y constituye la unidad estable de interoperabilidad con CFF e IFD.</w:t>
      </w:r>
    </w:p>
    <w:p>
      <w:pPr>
        <w:pStyle w:val="Heading2"/>
      </w:pPr>
      <w:r>
        <w:t>6.1 Catálogo de fenómenos</w:t>
      </w:r>
    </w:p>
    <w:p>
      <w:r>
        <w:t>PIIO debe mantener un PHENOMENON_CATALOG versionado. Un fenómeno canónico tiene identidad estable aunque cambien KPI particulares. CFF e IFD deben referenciar phenomenon_id y no reconstruir el fenómeno desde nombres libres.</w:t>
      </w:r>
    </w:p>
    <w:p>
      <w:pPr>
        <w:pStyle w:val="Heading2"/>
      </w:pPr>
      <w:r>
        <w:t>6.2 Fenómeno provisional compatible</w:t>
      </w:r>
    </w:p>
    <w:p>
      <w:r>
        <w:t>Un fenómeno aún no adoptado en el catálogo puede declararse PIIO_COMPATIBLE_PROVISIONAL para CFF/IFD solo si tiene dominio canónico, definición operacional, métrica, unidad, dirección, recurrencia, exposición y nodo. No alimenta EFO/AIE hasta su adopción formal.</w:t>
      </w:r>
    </w:p>
    <w:p>
      <w:pPr>
        <w:spacing w:before="100" w:after="140"/>
        <w:ind w:left="360" w:right="288"/>
      </w:pPr>
      <w:r>
        <w:rPr>
          <w:b/>
        </w:rPr>
        <w:t>Compatibilidad para CFF/IFD no equivale a adopción diagnóstica en PIIO.</w:t>
      </w:r>
    </w:p>
    <w:p>
      <w:pPr>
        <w:pStyle w:val="Heading1"/>
      </w:pPr>
      <w:r>
        <w:t>7. Contrato de definición métrica</w:t>
      </w:r>
    </w:p>
    <w:p>
      <w:r>
        <w:t>La auditoría v1.1 incorpora un contrato explícito para impedir que métricas semánticamente distintas compartan el mismo nombre o que cambios de denominador se interpreten como cambios operativos.</w:t>
      </w:r>
    </w:p>
    <w:p>
      <w:pPr>
        <w:pStyle w:val="TechnicalBlock"/>
      </w:pPr>
      <w:r>
        <w:t>METRIC_DEFINITION</w:t>
        <w:br/>
        <w:t xml:space="preserve">  metric_definition_id</w:t>
        <w:br/>
        <w:t xml:space="preserve">  phenomenon_id</w:t>
        <w:br/>
        <w:t xml:space="preserve">  name</w:t>
        <w:br/>
        <w:t xml:space="preserve">  operational_definition</w:t>
        <w:br/>
        <w:t xml:space="preserve">  numerator_definition?</w:t>
        <w:br/>
        <w:t xml:space="preserve">  denominator_definition?</w:t>
        <w:br/>
        <w:t xml:space="preserve">  unit</w:t>
        <w:br/>
        <w:t xml:space="preserve">  metric_type: COUNT | RATE | RATIO | DURATION | QUANTITY | INDEX | BINARY | OTHER_VALIDATED</w:t>
        <w:br/>
        <w:t xml:space="preserve">  directionality: HIGHER_IS_WORSE | LOWER_IS_WORSE | TARGET_RANGE</w:t>
        <w:br/>
        <w:t xml:space="preserve">  source_frequency</w:t>
        <w:br/>
        <w:t xml:space="preserve">  calculation_frequency</w:t>
        <w:br/>
        <w:t xml:space="preserve">  aggregation_frequency</w:t>
        <w:br/>
        <w:t xml:space="preserve">  rate_period?</w:t>
        <w:br/>
        <w:t xml:space="preserve">  annualization_rule?</w:t>
        <w:br/>
        <w:t xml:space="preserve">  valid_range_min?</w:t>
        <w:br/>
        <w:t xml:space="preserve">  valid_range_max?</w:t>
        <w:br/>
        <w:t xml:space="preserve">  boundary_behavior: INVALID | NOT_APPLICABLE | RULE_DEFINED</w:t>
        <w:br/>
        <w:t xml:space="preserve">  exposure_definition?</w:t>
        <w:br/>
        <w:t xml:space="preserve">  recurrence_type: RATE_BASED | COUNT_BASED | CONTINUOUS | EPISODIC</w:t>
        <w:br/>
        <w:t xml:space="preserve">  definition_version</w:t>
        <w:br/>
        <w:t xml:space="preserve">  valid_from</w:t>
        <w:br/>
        <w:t xml:space="preserve">  valid_to?</w:t>
        <w:br/>
        <w:t xml:space="preserve">  continuity_mode</w:t>
      </w:r>
    </w:p>
    <w:p>
      <w:r>
        <w:t>Un cambio de definición material genera nueva definition_version. Si rompe comparabilidad, la serie no se une silenciosamente.</w:t>
      </w:r>
    </w:p>
    <w:p>
      <w:pPr>
        <w:pStyle w:val="Heading1"/>
      </w:pPr>
      <w:r>
        <w:t>8. Referencias: condición y tiempo</w:t>
      </w:r>
    </w:p>
    <w:p>
      <w:pPr>
        <w:jc w:val="center"/>
      </w:pPr>
      <w:r>
        <w:rPr>
          <w:b/>
        </w:rPr>
        <w:t>REF_COND ≠ REF_TEMP</w:t>
      </w:r>
    </w:p>
    <w:p>
      <w:r>
        <w:t>REF_COND clasifica posición. REF_TEMP evalúa cambio. Una organización puede ser estable y estar deteriorada, o mejorar y continuar deteriorada.</w:t>
      </w:r>
    </w:p>
    <w:p>
      <w:pPr>
        <w:pStyle w:val="Heading2"/>
      </w:pPr>
      <w:r>
        <w:t>8.1 Referencias de condición</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2F3"/>
            <w:tcMar>
              <w:top w:w="65" w:type="dxa"/>
              <w:start w:w="75" w:type="dxa"/>
              <w:bottom w:w="65" w:type="dxa"/>
              <w:end w:w="75" w:type="dxa"/>
            </w:tcMar>
          </w:tcPr>
          <w:p>
            <w:pPr>
              <w:spacing w:after="0"/>
            </w:pPr>
            <w:r>
              <w:rPr>
                <w:b/>
              </w:rPr>
              <w:t>Tipo</w:t>
            </w:r>
          </w:p>
        </w:tc>
        <w:tc>
          <w:tcPr>
            <w:tcW w:type="dxa" w:w="7488"/>
            <w:shd w:fill="D9E2F3"/>
            <w:tcMar>
              <w:top w:w="65" w:type="dxa"/>
              <w:start w:w="75" w:type="dxa"/>
              <w:bottom w:w="65" w:type="dxa"/>
              <w:end w:w="75" w:type="dxa"/>
            </w:tcMar>
          </w:tcPr>
          <w:p>
            <w:pPr>
              <w:spacing w:after="0"/>
            </w:pPr>
            <w:r>
              <w:rPr>
                <w:b/>
              </w:rPr>
              <w:t>Uso</w:t>
            </w:r>
          </w:p>
        </w:tc>
      </w:tr>
      <w:tr>
        <w:trPr>
          <w:trHeight w:hRule="atLeast"/>
        </w:trPr>
        <w:tc>
          <w:tcPr>
            <w:tcW w:type="dxa" w:w="2592"/>
            <w:tcMar>
              <w:top w:w="65" w:type="dxa"/>
              <w:start w:w="75" w:type="dxa"/>
              <w:bottom w:w="65" w:type="dxa"/>
              <w:end w:w="75" w:type="dxa"/>
            </w:tcMar>
            <w:vAlign w:val="top"/>
          </w:tcPr>
          <w:p>
            <w:pPr>
              <w:keepLines/>
              <w:spacing w:after="0"/>
            </w:pPr>
            <w:r>
              <w:t>NORMATIVE</w:t>
            </w:r>
          </w:p>
        </w:tc>
        <w:tc>
          <w:tcPr>
            <w:tcW w:type="dxa" w:w="7488"/>
            <w:tcMar>
              <w:top w:w="65" w:type="dxa"/>
              <w:start w:w="75" w:type="dxa"/>
              <w:bottom w:w="65" w:type="dxa"/>
              <w:end w:w="75" w:type="dxa"/>
            </w:tcMar>
            <w:vAlign w:val="top"/>
          </w:tcPr>
          <w:p>
            <w:pPr>
              <w:keepLines/>
              <w:spacing w:after="0"/>
            </w:pPr>
            <w:r>
              <w:t>Norma o requisito externo aplicable.</w:t>
            </w:r>
          </w:p>
        </w:tc>
      </w:tr>
      <w:tr>
        <w:trPr>
          <w:trHeight w:hRule="atLeast"/>
        </w:trPr>
        <w:tc>
          <w:tcPr>
            <w:tcW w:type="dxa" w:w="2592"/>
            <w:tcMar>
              <w:top w:w="65" w:type="dxa"/>
              <w:start w:w="75" w:type="dxa"/>
              <w:bottom w:w="65" w:type="dxa"/>
              <w:end w:w="75" w:type="dxa"/>
            </w:tcMar>
            <w:vAlign w:val="top"/>
          </w:tcPr>
          <w:p>
            <w:pPr>
              <w:keepLines/>
              <w:spacing w:after="0"/>
            </w:pPr>
            <w:r>
              <w:t>TECHNICAL</w:t>
            </w:r>
          </w:p>
        </w:tc>
        <w:tc>
          <w:tcPr>
            <w:tcW w:type="dxa" w:w="7488"/>
            <w:tcMar>
              <w:top w:w="65" w:type="dxa"/>
              <w:start w:w="75" w:type="dxa"/>
              <w:bottom w:w="65" w:type="dxa"/>
              <w:end w:w="75" w:type="dxa"/>
            </w:tcMar>
            <w:vAlign w:val="top"/>
          </w:tcPr>
          <w:p>
            <w:pPr>
              <w:keepLines/>
              <w:spacing w:after="0"/>
            </w:pPr>
            <w:r>
              <w:t>Referencia técnica sustentada.</w:t>
            </w:r>
          </w:p>
        </w:tc>
      </w:tr>
      <w:tr>
        <w:trPr>
          <w:trHeight w:hRule="atLeast"/>
        </w:trPr>
        <w:tc>
          <w:tcPr>
            <w:tcW w:type="dxa" w:w="2592"/>
            <w:tcMar>
              <w:top w:w="65" w:type="dxa"/>
              <w:start w:w="75" w:type="dxa"/>
              <w:bottom w:w="65" w:type="dxa"/>
              <w:end w:w="75" w:type="dxa"/>
            </w:tcMar>
            <w:vAlign w:val="top"/>
          </w:tcPr>
          <w:p>
            <w:pPr>
              <w:keepLines/>
              <w:spacing w:after="0"/>
            </w:pPr>
            <w:r>
              <w:t>HISTORICAL</w:t>
            </w:r>
          </w:p>
        </w:tc>
        <w:tc>
          <w:tcPr>
            <w:tcW w:type="dxa" w:w="7488"/>
            <w:tcMar>
              <w:top w:w="65" w:type="dxa"/>
              <w:start w:w="75" w:type="dxa"/>
              <w:bottom w:w="65" w:type="dxa"/>
              <w:end w:w="75" w:type="dxa"/>
            </w:tcMar>
            <w:vAlign w:val="top"/>
          </w:tcPr>
          <w:p>
            <w:pPr>
              <w:keepLines/>
              <w:spacing w:after="0"/>
            </w:pPr>
            <w:r>
              <w:t>Historia interna válida cuando sea conceptualmente apropiada.</w:t>
            </w:r>
          </w:p>
        </w:tc>
      </w:tr>
      <w:tr>
        <w:trPr>
          <w:trHeight w:hRule="atLeast"/>
        </w:trPr>
        <w:tc>
          <w:tcPr>
            <w:tcW w:type="dxa" w:w="2592"/>
            <w:tcMar>
              <w:top w:w="65" w:type="dxa"/>
              <w:start w:w="75" w:type="dxa"/>
              <w:bottom w:w="65" w:type="dxa"/>
              <w:end w:w="75" w:type="dxa"/>
            </w:tcMar>
            <w:vAlign w:val="top"/>
          </w:tcPr>
          <w:p>
            <w:pPr>
              <w:keepLines/>
              <w:spacing w:after="0"/>
            </w:pPr>
            <w:r>
              <w:t>VALIDATED_TARGET</w:t>
            </w:r>
          </w:p>
        </w:tc>
        <w:tc>
          <w:tcPr>
            <w:tcW w:type="dxa" w:w="7488"/>
            <w:tcMar>
              <w:top w:w="65" w:type="dxa"/>
              <w:start w:w="75" w:type="dxa"/>
              <w:bottom w:w="65" w:type="dxa"/>
              <w:end w:w="75" w:type="dxa"/>
            </w:tcMar>
            <w:vAlign w:val="top"/>
          </w:tcPr>
          <w:p>
            <w:pPr>
              <w:keepLines/>
              <w:spacing w:after="0"/>
            </w:pPr>
            <w:r>
              <w:t>Objetivo organizacional validado como referencia legítima.</w:t>
            </w:r>
          </w:p>
        </w:tc>
      </w:tr>
      <w:tr>
        <w:trPr>
          <w:trHeight w:hRule="atLeast"/>
        </w:trPr>
        <w:tc>
          <w:tcPr>
            <w:tcW w:type="dxa" w:w="2592"/>
            <w:tcMar>
              <w:top w:w="65" w:type="dxa"/>
              <w:start w:w="75" w:type="dxa"/>
              <w:bottom w:w="65" w:type="dxa"/>
              <w:end w:w="75" w:type="dxa"/>
            </w:tcMar>
            <w:vAlign w:val="top"/>
          </w:tcPr>
          <w:p>
            <w:pPr>
              <w:keepLines/>
              <w:spacing w:after="0"/>
            </w:pPr>
            <w:r>
              <w:t>COMPARABLE_BENCHMARK</w:t>
            </w:r>
          </w:p>
        </w:tc>
        <w:tc>
          <w:tcPr>
            <w:tcW w:type="dxa" w:w="7488"/>
            <w:tcMar>
              <w:top w:w="65" w:type="dxa"/>
              <w:start w:w="75" w:type="dxa"/>
              <w:bottom w:w="65" w:type="dxa"/>
              <w:end w:w="75" w:type="dxa"/>
            </w:tcMar>
            <w:vAlign w:val="top"/>
          </w:tcPr>
          <w:p>
            <w:pPr>
              <w:keepLines/>
              <w:spacing w:after="0"/>
            </w:pPr>
            <w:r>
              <w:t>Benchmark suficientemente comparable y trazable.</w:t>
            </w:r>
          </w:p>
        </w:tc>
      </w:tr>
    </w:tbl>
    <w:p>
      <w:pPr>
        <w:spacing w:after="20"/>
      </w:pPr>
    </w:p>
    <w:p>
      <w:r>
        <w:t>Las referencias se seleccionan; no se promedian. El tipo no determina automáticamente calidad.</w:t>
      </w:r>
    </w:p>
    <w:p>
      <w:pPr>
        <w:pStyle w:val="Heading2"/>
      </w:pPr>
      <w:r>
        <w:t>8.2 Admisibilidad de referencia</w:t>
      </w:r>
    </w:p>
    <w:p>
      <w:r>
        <w:t>Cada referencia se evalúa por pertinencia, comparabilidad, trazabilidad, vigencia y estabilidad. La salida global es ADMISSIBLE, ADMISSIBLE_WITH_LIMITATIONS o NOT_ADMISSIBLE. Un fallo crítico impide usarla.</w:t>
      </w:r>
    </w:p>
    <w:p>
      <w:pPr>
        <w:pStyle w:val="Heading2"/>
      </w:pPr>
      <w:r>
        <w:t>8.3 Cambios de referencia</w:t>
      </w:r>
    </w:p>
    <w:p>
      <w:r>
        <w:t>REFERENCE_CHANGE_MODE = REBASE_HISTORY | START_NEW_REGIME. REBASE_HISTORY solo procede cuando la nueva referencia es legítimamente aplicable a la historia. START_NEW_REGIME inicia comparabilidad nueva cuando cambia el contexto real.</w:t>
      </w:r>
    </w:p>
    <w:p>
      <w:pPr>
        <w:pStyle w:val="Heading2"/>
      </w:pPr>
      <w:r>
        <w:t>8.4 Cambios de definición</w:t>
      </w:r>
    </w:p>
    <w:p>
      <w:r>
        <w:t>DEFINITION_CONTINUITY = CONTINUOUS | BRIDGED | NEW_SERIES. BRIDGED exige regla de transformación validada. NEW_SERIES impide calcular trayectoria a través de la ruptura.</w:t>
      </w:r>
    </w:p>
    <w:p>
      <w:pPr>
        <w:pStyle w:val="Heading1"/>
      </w:pPr>
      <w:r>
        <w:t>9. Observaciones y calidad de datos</w:t>
      </w:r>
    </w:p>
    <w:p>
      <w:pPr>
        <w:pStyle w:val="TechnicalBlock"/>
      </w:pPr>
      <w:r>
        <w:t>KPI_OBSERVATION</w:t>
        <w:br/>
        <w:t xml:space="preserve">  observation_id</w:t>
        <w:br/>
        <w:t xml:space="preserve">  organization_id</w:t>
        <w:br/>
        <w:t xml:space="preserve">  kpi_id</w:t>
        <w:br/>
        <w:t xml:space="preserve">  metric_definition_id</w:t>
        <w:br/>
        <w:t xml:space="preserve">  node_id</w:t>
        <w:br/>
        <w:t xml:space="preserve">  period_start</w:t>
        <w:br/>
        <w:t xml:space="preserve">  period_end</w:t>
        <w:br/>
        <w:t xml:space="preserve">  observed_at</w:t>
        <w:br/>
        <w:t xml:space="preserve">  value</w:t>
        <w:br/>
        <w:t xml:space="preserve">  unit</w:t>
        <w:br/>
        <w:t xml:space="preserve">  numerator?</w:t>
        <w:br/>
        <w:t xml:space="preserve">  denominator?</w:t>
        <w:br/>
        <w:t xml:space="preserve">  exposure?</w:t>
        <w:br/>
        <w:t xml:space="preserve">  source_id</w:t>
        <w:br/>
        <w:t xml:space="preserve">  source_traceable</w:t>
        <w:br/>
        <w:t xml:space="preserve">  quality_status</w:t>
        <w:br/>
        <w:t xml:space="preserve">  flags[]</w:t>
      </w:r>
    </w:p>
    <w:p>
      <w:r>
        <w:t>Missing no es cero. Cero es un valor válido solo cuando el sistema fuente confirma que representa ausencia observada del evento/cantidad. Valores fuera del dominio físico se marcan INVALID; no se recortan silenciosamente.</w:t>
      </w:r>
    </w:p>
    <w:p>
      <w:pPr>
        <w:pStyle w:val="Heading2"/>
      </w:pPr>
      <w:r>
        <w:t>9.1 Calidad</w:t>
      </w:r>
    </w:p>
    <w:p>
      <w:r>
        <w:t>DATA_QUALITY_STATUS = VALID | VALID_WITH_LIMITATIONS | MISSING | INVALID. La calidad del dato no reemplaza la admisibilidad inferencial; son dimensiones relacionadas pero distintas.</w:t>
      </w:r>
    </w:p>
    <w:p>
      <w:pPr>
        <w:pStyle w:val="Heading2"/>
      </w:pPr>
      <w:r>
        <w:t>9.2 Numerador, denominador y exposición</w:t>
      </w:r>
    </w:p>
    <w:p>
      <w:r>
        <w:t>Cuando existan, deben preservarse. Dos tasas iguales con denominadores muy distintos no tienen la misma estabilidad inferencial. La exposición se conserva para CFF/IFD y para interpretar cambios absolutos frente a cambios de tasa.</w:t>
      </w:r>
    </w:p>
    <w:p>
      <w:pPr>
        <w:pStyle w:val="Heading1"/>
      </w:pPr>
      <w:r>
        <w:t>10. KPI_SPEC y KPI_STATE</w:t>
      </w:r>
    </w:p>
    <w:p>
      <w:pPr>
        <w:pStyle w:val="TechnicalBlock"/>
      </w:pPr>
      <w:r>
        <w:t>KPI_SPEC</w:t>
        <w:br/>
        <w:t xml:space="preserve">  kpi_id</w:t>
        <w:br/>
        <w:t xml:space="preserve">  name</w:t>
        <w:br/>
        <w:t xml:space="preserve">  description</w:t>
        <w:br/>
        <w:t xml:space="preserve">  primary_domain_id</w:t>
        <w:br/>
        <w:t xml:space="preserve">  primary_phenomenon_id</w:t>
        <w:br/>
        <w:t xml:space="preserve">  metric_definition_id</w:t>
        <w:br/>
        <w:t xml:space="preserve">  evidence_group_id</w:t>
        <w:br/>
        <w:t xml:space="preserve">  evidence_proximity: DIRECT | PROXY</w:t>
        <w:br/>
        <w:t xml:space="preserve">  computation: RAW | DERIVED</w:t>
        <w:br/>
        <w:t xml:space="preserve">  temporal_role: COINCIDENT | LAGGED</w:t>
        <w:br/>
        <w:t xml:space="preserve">  expected_lag?</w:t>
        <w:br/>
        <w:t xml:space="preserve">  freshness_spec</w:t>
        <w:br/>
        <w:t xml:space="preserve">  condition_reference_id</w:t>
        <w:br/>
        <w:t xml:space="preserve">  temporal_reference_id</w:t>
        <w:br/>
        <w:t xml:space="preserve">  proxy_allowed_as_primary?</w:t>
        <w:br/>
        <w:t xml:space="preserve">  definition_version</w:t>
        <w:br/>
        <w:t xml:space="preserve">  source_requirements[]</w:t>
        <w:br/>
        <w:t xml:space="preserve">  if DERIVED:</w:t>
        <w:br/>
        <w:t xml:space="preserve">    formula_id</w:t>
        <w:br/>
        <w:t xml:space="preserve">    formula_version</w:t>
        <w:br/>
        <w:t xml:space="preserve">    source_variables[]</w:t>
      </w:r>
    </w:p>
    <w:p>
      <w:pPr>
        <w:pStyle w:val="TechnicalBlock"/>
      </w:pPr>
      <w:r>
        <w:t>KPI_STATE</w:t>
        <w:br/>
        <w:t xml:space="preserve">  kpi_state_id</w:t>
        <w:br/>
        <w:t xml:space="preserve">  kpi_id</w:t>
        <w:br/>
        <w:t xml:space="preserve">  node_id</w:t>
        <w:br/>
        <w:t xml:space="preserve">  period</w:t>
        <w:br/>
        <w:t xml:space="preserve">  original_value</w:t>
        <w:br/>
        <w:t xml:space="preserve">  pos: F | I | D | N_A</w:t>
        <w:br/>
        <w:t xml:space="preserve">  traj: IMPROVING | STABLE | DETERIORATING | N_A</w:t>
        <w:br/>
        <w:t xml:space="preserve">  pers: POINT | REPEATED | PERSISTENT | N_A</w:t>
        <w:br/>
        <w:t xml:space="preserve">  det_run</w:t>
        <w:br/>
        <w:t xml:space="preserve">  det_duration?</w:t>
        <w:br/>
        <w:t xml:space="preserve">  admissibility</w:t>
        <w:br/>
        <w:t xml:space="preserve">  freshness</w:t>
        <w:br/>
        <w:t xml:space="preserve">  data_quality</w:t>
        <w:br/>
        <w:t xml:space="preserve">  condition_reference_version</w:t>
        <w:br/>
        <w:t xml:space="preserve">  temporal_reference_version</w:t>
        <w:br/>
        <w:t xml:space="preserve">  metric_definition_version</w:t>
        <w:br/>
        <w:t xml:space="preserve">  flags[]</w:t>
      </w:r>
    </w:p>
    <w:p>
      <w:pPr>
        <w:pStyle w:val="Heading1"/>
      </w:pPr>
      <w:r>
        <w:t>11. Posición, trayectoria y persistencia</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1872"/>
            <w:shd w:fill="D9E2F3"/>
            <w:tcMar>
              <w:top w:w="65" w:type="dxa"/>
              <w:start w:w="75" w:type="dxa"/>
              <w:bottom w:w="65" w:type="dxa"/>
              <w:end w:w="75" w:type="dxa"/>
            </w:tcMar>
          </w:tcPr>
          <w:p>
            <w:pPr>
              <w:spacing w:after="0"/>
            </w:pPr>
            <w:r>
              <w:rPr>
                <w:b/>
              </w:rPr>
              <w:t>Dimensión</w:t>
            </w:r>
          </w:p>
        </w:tc>
        <w:tc>
          <w:tcPr>
            <w:tcW w:type="dxa" w:w="3456"/>
            <w:shd w:fill="D9E2F3"/>
            <w:tcMar>
              <w:top w:w="65" w:type="dxa"/>
              <w:start w:w="75" w:type="dxa"/>
              <w:bottom w:w="65" w:type="dxa"/>
              <w:end w:w="75" w:type="dxa"/>
            </w:tcMar>
          </w:tcPr>
          <w:p>
            <w:pPr>
              <w:spacing w:after="0"/>
            </w:pPr>
            <w:r>
              <w:rPr>
                <w:b/>
              </w:rPr>
              <w:t>Valores</w:t>
            </w:r>
          </w:p>
        </w:tc>
        <w:tc>
          <w:tcPr>
            <w:tcW w:type="dxa" w:w="4752"/>
            <w:shd w:fill="D9E2F3"/>
            <w:tcMar>
              <w:top w:w="65" w:type="dxa"/>
              <w:start w:w="75" w:type="dxa"/>
              <w:bottom w:w="65" w:type="dxa"/>
              <w:end w:w="75" w:type="dxa"/>
            </w:tcMar>
          </w:tcPr>
          <w:p>
            <w:pPr>
              <w:spacing w:after="0"/>
            </w:pPr>
            <w:r>
              <w:rPr>
                <w:b/>
              </w:rPr>
              <w:t>Regla</w:t>
            </w:r>
          </w:p>
        </w:tc>
      </w:tr>
      <w:tr>
        <w:trPr>
          <w:trHeight w:hRule="atLeast"/>
        </w:trPr>
        <w:tc>
          <w:tcPr>
            <w:tcW w:type="dxa" w:w="1872"/>
            <w:tcMar>
              <w:top w:w="65" w:type="dxa"/>
              <w:start w:w="75" w:type="dxa"/>
              <w:bottom w:w="65" w:type="dxa"/>
              <w:end w:w="75" w:type="dxa"/>
            </w:tcMar>
            <w:vAlign w:val="top"/>
          </w:tcPr>
          <w:p>
            <w:pPr>
              <w:keepLines/>
              <w:spacing w:after="0"/>
            </w:pPr>
            <w:r>
              <w:t>POSITION</w:t>
            </w:r>
          </w:p>
        </w:tc>
        <w:tc>
          <w:tcPr>
            <w:tcW w:type="dxa" w:w="3456"/>
            <w:tcMar>
              <w:top w:w="65" w:type="dxa"/>
              <w:start w:w="75" w:type="dxa"/>
              <w:bottom w:w="65" w:type="dxa"/>
              <w:end w:w="75" w:type="dxa"/>
            </w:tcMar>
            <w:vAlign w:val="top"/>
          </w:tcPr>
          <w:p>
            <w:pPr>
              <w:keepLines/>
              <w:spacing w:after="0"/>
            </w:pPr>
            <w:r>
              <w:t>F | I | D | N_A</w:t>
            </w:r>
          </w:p>
        </w:tc>
        <w:tc>
          <w:tcPr>
            <w:tcW w:type="dxa" w:w="4752"/>
            <w:tcMar>
              <w:top w:w="65" w:type="dxa"/>
              <w:start w:w="75" w:type="dxa"/>
              <w:bottom w:w="65" w:type="dxa"/>
              <w:end w:w="75" w:type="dxa"/>
            </w:tcMar>
            <w:vAlign w:val="top"/>
          </w:tcPr>
          <w:p>
            <w:pPr>
              <w:keepLines/>
              <w:spacing w:after="0"/>
            </w:pPr>
            <w:r>
              <w:t>Condición respecto de REF_COND válida.</w:t>
            </w:r>
          </w:p>
        </w:tc>
      </w:tr>
      <w:tr>
        <w:trPr>
          <w:trHeight w:hRule="atLeast"/>
        </w:trPr>
        <w:tc>
          <w:tcPr>
            <w:tcW w:type="dxa" w:w="1872"/>
            <w:tcMar>
              <w:top w:w="65" w:type="dxa"/>
              <w:start w:w="75" w:type="dxa"/>
              <w:bottom w:w="65" w:type="dxa"/>
              <w:end w:w="75" w:type="dxa"/>
            </w:tcMar>
            <w:vAlign w:val="top"/>
          </w:tcPr>
          <w:p>
            <w:pPr>
              <w:keepLines/>
              <w:spacing w:after="0"/>
            </w:pPr>
            <w:r>
              <w:t>TRAJECTORY</w:t>
            </w:r>
          </w:p>
        </w:tc>
        <w:tc>
          <w:tcPr>
            <w:tcW w:type="dxa" w:w="3456"/>
            <w:tcMar>
              <w:top w:w="65" w:type="dxa"/>
              <w:start w:w="75" w:type="dxa"/>
              <w:bottom w:w="65" w:type="dxa"/>
              <w:end w:w="75" w:type="dxa"/>
            </w:tcMar>
            <w:vAlign w:val="top"/>
          </w:tcPr>
          <w:p>
            <w:pPr>
              <w:keepLines/>
              <w:spacing w:after="0"/>
            </w:pPr>
            <w:r>
              <w:t>IMPROVING | STABLE | DETERIORATING | N_A</w:t>
            </w:r>
          </w:p>
        </w:tc>
        <w:tc>
          <w:tcPr>
            <w:tcW w:type="dxa" w:w="4752"/>
            <w:tcMar>
              <w:top w:w="65" w:type="dxa"/>
              <w:start w:w="75" w:type="dxa"/>
              <w:bottom w:w="65" w:type="dxa"/>
              <w:end w:w="75" w:type="dxa"/>
            </w:tcMar>
            <w:vAlign w:val="top"/>
          </w:tcPr>
          <w:p>
            <w:pPr>
              <w:keepLines/>
              <w:spacing w:after="0"/>
            </w:pPr>
            <w:r>
              <w:t>Cambio respecto de REF_TEMP y serie comparable.</w:t>
            </w:r>
          </w:p>
        </w:tc>
      </w:tr>
      <w:tr>
        <w:trPr>
          <w:trHeight w:hRule="atLeast"/>
        </w:trPr>
        <w:tc>
          <w:tcPr>
            <w:tcW w:type="dxa" w:w="1872"/>
            <w:tcMar>
              <w:top w:w="65" w:type="dxa"/>
              <w:start w:w="75" w:type="dxa"/>
              <w:bottom w:w="65" w:type="dxa"/>
              <w:end w:w="75" w:type="dxa"/>
            </w:tcMar>
            <w:vAlign w:val="top"/>
          </w:tcPr>
          <w:p>
            <w:pPr>
              <w:keepLines/>
              <w:spacing w:after="0"/>
            </w:pPr>
            <w:r>
              <w:t>PERSISTENCE</w:t>
            </w:r>
          </w:p>
        </w:tc>
        <w:tc>
          <w:tcPr>
            <w:tcW w:type="dxa" w:w="3456"/>
            <w:tcMar>
              <w:top w:w="65" w:type="dxa"/>
              <w:start w:w="75" w:type="dxa"/>
              <w:bottom w:w="65" w:type="dxa"/>
              <w:end w:w="75" w:type="dxa"/>
            </w:tcMar>
            <w:vAlign w:val="top"/>
          </w:tcPr>
          <w:p>
            <w:pPr>
              <w:keepLines/>
              <w:spacing w:after="0"/>
            </w:pPr>
            <w:r>
              <w:t>POINT | REPEATED | PERSISTENT | N_A</w:t>
            </w:r>
          </w:p>
        </w:tc>
        <w:tc>
          <w:tcPr>
            <w:tcW w:type="dxa" w:w="4752"/>
            <w:tcMar>
              <w:top w:w="65" w:type="dxa"/>
              <w:start w:w="75" w:type="dxa"/>
              <w:bottom w:w="65" w:type="dxa"/>
              <w:end w:w="75" w:type="dxa"/>
            </w:tcMar>
            <w:vAlign w:val="top"/>
          </w:tcPr>
          <w:p>
            <w:pPr>
              <w:keepLines/>
              <w:spacing w:after="0"/>
            </w:pPr>
            <w:r>
              <w:t>Continuidad/repetición de posición D en el mismo nivel.</w:t>
            </w:r>
          </w:p>
        </w:tc>
      </w:tr>
    </w:tbl>
    <w:p>
      <w:pPr>
        <w:spacing w:after="20"/>
      </w:pPr>
    </w:p>
    <w:p>
      <w:r>
        <w:t>I significa evidencia válida indeterminada, no resolutiva o divergente. N_A significa que no existe base válida suficiente para clasificar. Historia insuficiente produce trajectory=N_A, no STABLE.</w:t>
      </w:r>
    </w:p>
    <w:p>
      <w:pPr>
        <w:pStyle w:val="Heading2"/>
      </w:pPr>
      <w:r>
        <w:t>11.1 Dirección</w:t>
      </w:r>
    </w:p>
    <w:p>
      <w:r>
        <w:t>DIRECTIONALITY = HIGHER_IS_WORSE | LOWER_IS_WORSE | TARGET_RANGE. TARGET_RANGE requiere reglas explícitas para desviación por debajo y por encima.</w:t>
      </w:r>
    </w:p>
    <w:p>
      <w:pPr>
        <w:pStyle w:val="Heading2"/>
      </w:pPr>
      <w:r>
        <w:t>11.2 Métodos temporales</w:t>
      </w:r>
    </w:p>
    <w:p>
      <w:r>
        <w:t>TEMPORAL_METHOD = DELTA | SLOPE | ROLLING_COMPARE | OTHER_VALIDATED. No existe ventana universal. La trayectoria del KPI se calcula sobre la serie original cuando esta existe.</w:t>
      </w:r>
    </w:p>
    <w:p>
      <w:pPr>
        <w:pStyle w:val="Heading2"/>
      </w:pPr>
      <w:r>
        <w:t>11.3 Continuidad</w:t>
      </w:r>
    </w:p>
    <w:p>
      <w:r>
        <w:t>N_A no incrementa det_run y tampoco demuestra recuperación. Si el gap supera MAX_CONTINUITY_GAP, un nuevo D inicia un nuevo run. Cada nivel mantiene su propia historia.</w:t>
      </w:r>
    </w:p>
    <w:p>
      <w:pPr>
        <w:pStyle w:val="Heading1"/>
      </w:pPr>
      <w:r>
        <w:t>12. Patrón temporal, estabilidad, régimen y shocks</w:t>
      </w:r>
    </w:p>
    <w:p>
      <w:r>
        <w:t>Para mantener coherencia con IFD, PIIO separa conceptos que no deben mezclarse en una sola taxonomía.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880"/>
            <w:shd w:fill="D9E2F3"/>
            <w:tcMar>
              <w:top w:w="65" w:type="dxa"/>
              <w:start w:w="75" w:type="dxa"/>
              <w:bottom w:w="65" w:type="dxa"/>
              <w:end w:w="75" w:type="dxa"/>
            </w:tcMar>
          </w:tcPr>
          <w:p>
            <w:pPr>
              <w:spacing w:after="0"/>
            </w:pPr>
            <w:r>
              <w:rPr>
                <w:b/>
              </w:rPr>
              <w:t>Enum</w:t>
            </w:r>
          </w:p>
        </w:tc>
        <w:tc>
          <w:tcPr>
            <w:tcW w:type="dxa" w:w="7200"/>
            <w:shd w:fill="D9E2F3"/>
            <w:tcMar>
              <w:top w:w="65" w:type="dxa"/>
              <w:start w:w="75" w:type="dxa"/>
              <w:bottom w:w="65" w:type="dxa"/>
              <w:end w:w="75" w:type="dxa"/>
            </w:tcMar>
          </w:tcPr>
          <w:p>
            <w:pPr>
              <w:spacing w:after="0"/>
            </w:pPr>
            <w:r>
              <w:rPr>
                <w:b/>
              </w:rPr>
              <w:t>Valores</w:t>
            </w:r>
          </w:p>
        </w:tc>
      </w:tr>
      <w:tr>
        <w:trPr>
          <w:trHeight w:hRule="atLeast"/>
        </w:trPr>
        <w:tc>
          <w:tcPr>
            <w:tcW w:type="dxa" w:w="2880"/>
            <w:tcMar>
              <w:top w:w="65" w:type="dxa"/>
              <w:start w:w="75" w:type="dxa"/>
              <w:bottom w:w="65" w:type="dxa"/>
              <w:end w:w="75" w:type="dxa"/>
            </w:tcMar>
            <w:vAlign w:val="top"/>
          </w:tcPr>
          <w:p>
            <w:pPr>
              <w:keepLines/>
              <w:spacing w:after="0"/>
            </w:pPr>
            <w:r>
              <w:t>TEMPORAL_PATTERN</w:t>
            </w:r>
          </w:p>
        </w:tc>
        <w:tc>
          <w:tcPr>
            <w:tcW w:type="dxa" w:w="7200"/>
            <w:tcMar>
              <w:top w:w="65" w:type="dxa"/>
              <w:start w:w="75" w:type="dxa"/>
              <w:bottom w:w="65" w:type="dxa"/>
              <w:end w:w="75" w:type="dxa"/>
            </w:tcMar>
            <w:vAlign w:val="top"/>
          </w:tcPr>
          <w:p>
            <w:pPr>
              <w:keepLines/>
              <w:spacing w:after="0"/>
            </w:pPr>
            <w:r>
              <w:t>NONE_DETECTED | TREND | SEASONAL | TREND_AND_SEASONAL | INSUFFICIENT</w:t>
            </w:r>
          </w:p>
        </w:tc>
      </w:tr>
      <w:tr>
        <w:trPr>
          <w:trHeight w:hRule="atLeast"/>
        </w:trPr>
        <w:tc>
          <w:tcPr>
            <w:tcW w:type="dxa" w:w="2880"/>
            <w:tcMar>
              <w:top w:w="65" w:type="dxa"/>
              <w:start w:w="75" w:type="dxa"/>
              <w:bottom w:w="65" w:type="dxa"/>
              <w:end w:w="75" w:type="dxa"/>
            </w:tcMar>
            <w:vAlign w:val="top"/>
          </w:tcPr>
          <w:p>
            <w:pPr>
              <w:keepLines/>
              <w:spacing w:after="0"/>
            </w:pPr>
            <w:r>
              <w:t>SERIES_STABILITY</w:t>
            </w:r>
          </w:p>
        </w:tc>
        <w:tc>
          <w:tcPr>
            <w:tcW w:type="dxa" w:w="7200"/>
            <w:tcMar>
              <w:top w:w="65" w:type="dxa"/>
              <w:start w:w="75" w:type="dxa"/>
              <w:bottom w:w="65" w:type="dxa"/>
              <w:end w:w="75" w:type="dxa"/>
            </w:tcMar>
            <w:vAlign w:val="top"/>
          </w:tcPr>
          <w:p>
            <w:pPr>
              <w:keepLines/>
              <w:spacing w:after="0"/>
            </w:pPr>
            <w:r>
              <w:t>STABLE | MODERATELY_VARIABLE | HIGHLY_VARIABLE | INSUFFICIENT</w:t>
            </w:r>
          </w:p>
        </w:tc>
      </w:tr>
      <w:tr>
        <w:trPr>
          <w:trHeight w:hRule="atLeast"/>
        </w:trPr>
        <w:tc>
          <w:tcPr>
            <w:tcW w:type="dxa" w:w="2880"/>
            <w:tcMar>
              <w:top w:w="65" w:type="dxa"/>
              <w:start w:w="75" w:type="dxa"/>
              <w:bottom w:w="65" w:type="dxa"/>
              <w:end w:w="75" w:type="dxa"/>
            </w:tcMar>
            <w:vAlign w:val="top"/>
          </w:tcPr>
          <w:p>
            <w:pPr>
              <w:keepLines/>
              <w:spacing w:after="0"/>
            </w:pPr>
            <w:r>
              <w:t>REGIME_STATUS</w:t>
            </w:r>
          </w:p>
        </w:tc>
        <w:tc>
          <w:tcPr>
            <w:tcW w:type="dxa" w:w="7200"/>
            <w:tcMar>
              <w:top w:w="65" w:type="dxa"/>
              <w:start w:w="75" w:type="dxa"/>
              <w:bottom w:w="65" w:type="dxa"/>
              <w:end w:w="75" w:type="dxa"/>
            </w:tcMar>
            <w:vAlign w:val="top"/>
          </w:tcPr>
          <w:p>
            <w:pPr>
              <w:keepLines/>
              <w:spacing w:after="0"/>
            </w:pPr>
            <w:r>
              <w:t>CONTINUOUS | NEW_REGIME</w:t>
            </w:r>
          </w:p>
        </w:tc>
      </w:tr>
      <w:tr>
        <w:trPr>
          <w:trHeight w:hRule="atLeast"/>
        </w:trPr>
        <w:tc>
          <w:tcPr>
            <w:tcW w:type="dxa" w:w="2880"/>
            <w:tcMar>
              <w:top w:w="65" w:type="dxa"/>
              <w:start w:w="75" w:type="dxa"/>
              <w:bottom w:w="65" w:type="dxa"/>
              <w:end w:w="75" w:type="dxa"/>
            </w:tcMar>
            <w:vAlign w:val="top"/>
          </w:tcPr>
          <w:p>
            <w:pPr>
              <w:keepLines/>
              <w:spacing w:after="0"/>
            </w:pPr>
            <w:r>
              <w:t>SHOCK_STATUS</w:t>
            </w:r>
          </w:p>
        </w:tc>
        <w:tc>
          <w:tcPr>
            <w:tcW w:type="dxa" w:w="7200"/>
            <w:tcMar>
              <w:top w:w="65" w:type="dxa"/>
              <w:start w:w="75" w:type="dxa"/>
              <w:bottom w:w="65" w:type="dxa"/>
              <w:end w:w="75" w:type="dxa"/>
            </w:tcMar>
            <w:vAlign w:val="top"/>
          </w:tcPr>
          <w:p>
            <w:pPr>
              <w:keepLines/>
              <w:spacing w:after="0"/>
            </w:pPr>
            <w:r>
              <w:t>NONE | SUSPECTED | CONFIRMED_EXTERNAL | CONFIRMED_INTERNAL</w:t>
            </w:r>
          </w:p>
        </w:tc>
      </w:tr>
      <w:tr>
        <w:trPr>
          <w:trHeight w:hRule="atLeast"/>
        </w:trPr>
        <w:tc>
          <w:tcPr>
            <w:tcW w:type="dxa" w:w="2880"/>
            <w:tcMar>
              <w:top w:w="65" w:type="dxa"/>
              <w:start w:w="75" w:type="dxa"/>
              <w:bottom w:w="65" w:type="dxa"/>
              <w:end w:w="75" w:type="dxa"/>
            </w:tcMar>
            <w:vAlign w:val="top"/>
          </w:tcPr>
          <w:p>
            <w:pPr>
              <w:keepLines/>
              <w:spacing w:after="0"/>
            </w:pPr>
            <w:r>
              <w:t>SHOCK_TREATMENT</w:t>
            </w:r>
          </w:p>
        </w:tc>
        <w:tc>
          <w:tcPr>
            <w:tcW w:type="dxa" w:w="7200"/>
            <w:tcMar>
              <w:top w:w="65" w:type="dxa"/>
              <w:start w:w="75" w:type="dxa"/>
              <w:bottom w:w="65" w:type="dxa"/>
              <w:end w:w="75" w:type="dxa"/>
            </w:tcMar>
            <w:vAlign w:val="top"/>
          </w:tcPr>
          <w:p>
            <w:pPr>
              <w:keepLines/>
              <w:spacing w:after="0"/>
            </w:pPr>
            <w:r>
              <w:t>INCLUDE | EXCLUDE_FROM_STRUCTURAL_CALIBRATION | MODEL_SEPARATELY</w:t>
            </w:r>
          </w:p>
        </w:tc>
      </w:tr>
    </w:tbl>
    <w:p>
      <w:pPr>
        <w:spacing w:after="20"/>
      </w:pPr>
    </w:p>
    <w:p>
      <w:r>
        <w:t>Sparsity es una propiedad de la serie/recurrencia, no un patrón temporal. Un shock confirmado no se elimina automáticamente: su tratamiento depende de si forma parte del funcionamiento que PIIO debe observar o si rompe la calibración histórica.</w:t>
      </w:r>
    </w:p>
    <w:p>
      <w:pPr>
        <w:pStyle w:val="Heading1"/>
      </w:pPr>
      <w:r>
        <w:t>13. Freshness y staleness</w:t>
      </w:r>
    </w:p>
    <w:p>
      <w:r>
        <w:t>Freshness expresa si una observación/estado sigue siendo temporalmente utilizable según la frecuencia y vigencia definidas. No se reduce a un booleano global.</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448"/>
            <w:shd w:fill="D9E2F3"/>
            <w:tcMar>
              <w:top w:w="65" w:type="dxa"/>
              <w:start w:w="75" w:type="dxa"/>
              <w:bottom w:w="65" w:type="dxa"/>
              <w:end w:w="75" w:type="dxa"/>
            </w:tcMar>
          </w:tcPr>
          <w:p>
            <w:pPr>
              <w:spacing w:after="0"/>
            </w:pPr>
            <w:r>
              <w:rPr>
                <w:b/>
              </w:rPr>
              <w:t>FRESHNESS_STATUS</w:t>
            </w:r>
          </w:p>
        </w:tc>
        <w:tc>
          <w:tcPr>
            <w:tcW w:type="dxa" w:w="7632"/>
            <w:shd w:fill="D9E2F3"/>
            <w:tcMar>
              <w:top w:w="65" w:type="dxa"/>
              <w:start w:w="75" w:type="dxa"/>
              <w:bottom w:w="65" w:type="dxa"/>
              <w:end w:w="75" w:type="dxa"/>
            </w:tcMar>
          </w:tcPr>
          <w:p>
            <w:pPr>
              <w:spacing w:after="0"/>
            </w:pPr>
            <w:r>
              <w:rPr>
                <w:b/>
              </w:rPr>
              <w:t>Significado</w:t>
            </w:r>
          </w:p>
        </w:tc>
      </w:tr>
      <w:tr>
        <w:trPr>
          <w:trHeight w:hRule="atLeast"/>
        </w:trPr>
        <w:tc>
          <w:tcPr>
            <w:tcW w:type="dxa" w:w="2448"/>
            <w:tcMar>
              <w:top w:w="65" w:type="dxa"/>
              <w:start w:w="75" w:type="dxa"/>
              <w:bottom w:w="65" w:type="dxa"/>
              <w:end w:w="75" w:type="dxa"/>
            </w:tcMar>
            <w:vAlign w:val="top"/>
          </w:tcPr>
          <w:p>
            <w:pPr>
              <w:keepLines/>
              <w:spacing w:after="0"/>
            </w:pPr>
            <w:r>
              <w:t>CURRENT</w:t>
            </w:r>
          </w:p>
        </w:tc>
        <w:tc>
          <w:tcPr>
            <w:tcW w:type="dxa" w:w="7632"/>
            <w:tcMar>
              <w:top w:w="65" w:type="dxa"/>
              <w:start w:w="75" w:type="dxa"/>
              <w:bottom w:w="65" w:type="dxa"/>
              <w:end w:w="75" w:type="dxa"/>
            </w:tcMar>
            <w:vAlign w:val="top"/>
          </w:tcPr>
          <w:p>
            <w:pPr>
              <w:keepLines/>
              <w:spacing w:after="0"/>
            </w:pPr>
            <w:r>
              <w:t>Dentro de la ventana válida.</w:t>
            </w:r>
          </w:p>
        </w:tc>
      </w:tr>
      <w:tr>
        <w:trPr>
          <w:trHeight w:hRule="atLeast"/>
        </w:trPr>
        <w:tc>
          <w:tcPr>
            <w:tcW w:type="dxa" w:w="2448"/>
            <w:tcMar>
              <w:top w:w="65" w:type="dxa"/>
              <w:start w:w="75" w:type="dxa"/>
              <w:bottom w:w="65" w:type="dxa"/>
              <w:end w:w="75" w:type="dxa"/>
            </w:tcMar>
            <w:vAlign w:val="top"/>
          </w:tcPr>
          <w:p>
            <w:pPr>
              <w:keepLines/>
              <w:spacing w:after="0"/>
            </w:pPr>
            <w:r>
              <w:t>AGING</w:t>
            </w:r>
          </w:p>
        </w:tc>
        <w:tc>
          <w:tcPr>
            <w:tcW w:type="dxa" w:w="7632"/>
            <w:tcMar>
              <w:top w:w="65" w:type="dxa"/>
              <w:start w:w="75" w:type="dxa"/>
              <w:bottom w:w="65" w:type="dxa"/>
              <w:end w:w="75" w:type="dxa"/>
            </w:tcMar>
            <w:vAlign w:val="top"/>
          </w:tcPr>
          <w:p>
            <w:pPr>
              <w:keepLines/>
              <w:spacing w:after="0"/>
            </w:pPr>
            <w:r>
              <w:t>Utilizable con limitación explícita.</w:t>
            </w:r>
          </w:p>
        </w:tc>
      </w:tr>
      <w:tr>
        <w:trPr>
          <w:trHeight w:hRule="atLeast"/>
        </w:trPr>
        <w:tc>
          <w:tcPr>
            <w:tcW w:type="dxa" w:w="2448"/>
            <w:tcMar>
              <w:top w:w="65" w:type="dxa"/>
              <w:start w:w="75" w:type="dxa"/>
              <w:bottom w:w="65" w:type="dxa"/>
              <w:end w:w="75" w:type="dxa"/>
            </w:tcMar>
            <w:vAlign w:val="top"/>
          </w:tcPr>
          <w:p>
            <w:pPr>
              <w:keepLines/>
              <w:spacing w:after="0"/>
            </w:pPr>
            <w:r>
              <w:t>STALE</w:t>
            </w:r>
          </w:p>
        </w:tc>
        <w:tc>
          <w:tcPr>
            <w:tcW w:type="dxa" w:w="7632"/>
            <w:tcMar>
              <w:top w:w="65" w:type="dxa"/>
              <w:start w:w="75" w:type="dxa"/>
              <w:bottom w:w="65" w:type="dxa"/>
              <w:end w:w="75" w:type="dxa"/>
            </w:tcMar>
            <w:vAlign w:val="top"/>
          </w:tcPr>
          <w:p>
            <w:pPr>
              <w:keepLines/>
              <w:spacing w:after="0"/>
            </w:pPr>
            <w:r>
              <w:t>Fuera de vigencia para nueva inferencia.</w:t>
            </w:r>
          </w:p>
        </w:tc>
      </w:tr>
      <w:tr>
        <w:trPr>
          <w:trHeight w:hRule="atLeast"/>
        </w:trPr>
        <w:tc>
          <w:tcPr>
            <w:tcW w:type="dxa" w:w="2448"/>
            <w:tcMar>
              <w:top w:w="65" w:type="dxa"/>
              <w:start w:w="75" w:type="dxa"/>
              <w:bottom w:w="65" w:type="dxa"/>
              <w:end w:w="75" w:type="dxa"/>
            </w:tcMar>
            <w:vAlign w:val="top"/>
          </w:tcPr>
          <w:p>
            <w:pPr>
              <w:keepLines/>
              <w:spacing w:after="0"/>
            </w:pPr>
            <w:r>
              <w:t>N_A</w:t>
            </w:r>
          </w:p>
        </w:tc>
        <w:tc>
          <w:tcPr>
            <w:tcW w:type="dxa" w:w="7632"/>
            <w:tcMar>
              <w:top w:w="65" w:type="dxa"/>
              <w:start w:w="75" w:type="dxa"/>
              <w:bottom w:w="65" w:type="dxa"/>
              <w:end w:w="75" w:type="dxa"/>
            </w:tcMar>
            <w:vAlign w:val="top"/>
          </w:tcPr>
          <w:p>
            <w:pPr>
              <w:keepLines/>
              <w:spacing w:after="0"/>
            </w:pPr>
            <w:r>
              <w:t>No aplica/no puede determinarse.</w:t>
            </w:r>
          </w:p>
        </w:tc>
      </w:tr>
    </w:tbl>
    <w:p>
      <w:pPr>
        <w:spacing w:after="20"/>
      </w:pPr>
    </w:p>
    <w:p>
      <w:r>
        <w:t>STALE no transforma el valor histórico ni lo elimina. Impide tratarlo como evidencia vigente. Un estado histórico sigue siendo reproducible con su snapshot.</w:t>
      </w:r>
    </w:p>
    <w:p>
      <w:pPr>
        <w:pStyle w:val="Heading1"/>
      </w:pPr>
      <w:r>
        <w:t>14. Control de independencia: EVIDENCE_GROUP</w:t>
      </w:r>
    </w:p>
    <w:p>
      <w:r>
        <w:t>EVIDENCE_GROUP es una estructura técnica para impedir falsa multiplicidad. KPI derivados sustancialmente del mismo origen no cuentan como fuentes independientes.</w:t>
      </w:r>
    </w:p>
    <w:p>
      <w:pPr>
        <w:pStyle w:val="TechnicalBlock"/>
      </w:pPr>
      <w:r>
        <w:t>EVIDENCE_GROUP</w:t>
        <w:br/>
        <w:t xml:space="preserve">  evidence_group_id</w:t>
        <w:br/>
        <w:t xml:space="preserve">  phenomenon_id</w:t>
        <w:br/>
        <w:t xml:space="preserve">  node_id</w:t>
        <w:br/>
        <w:t xml:space="preserve">  member_kpi_ids[]</w:t>
        <w:br/>
        <w:t xml:space="preserve">  source_lineage_ids[]</w:t>
        <w:br/>
        <w:t xml:space="preserve">  independence_basis</w:t>
        <w:br/>
        <w:t xml:space="preserve">  resolution_rule_version</w:t>
        <w:br/>
        <w:t xml:space="preserve">  status</w:t>
        <w:br/>
        <w:t xml:space="preserve">  flags[]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2F3"/>
            <w:tcMar>
              <w:top w:w="65" w:type="dxa"/>
              <w:start w:w="75" w:type="dxa"/>
              <w:bottom w:w="65" w:type="dxa"/>
              <w:end w:w="75" w:type="dxa"/>
            </w:tcMar>
          </w:tcPr>
          <w:p>
            <w:pPr>
              <w:spacing w:after="0"/>
            </w:pPr>
            <w:r>
              <w:rPr>
                <w:b/>
              </w:rPr>
              <w:t>Configuración interna</w:t>
            </w:r>
          </w:p>
        </w:tc>
        <w:tc>
          <w:tcPr>
            <w:tcW w:type="dxa" w:w="6480"/>
            <w:shd w:fill="D9E2F3"/>
            <w:tcMar>
              <w:top w:w="65" w:type="dxa"/>
              <w:start w:w="75" w:type="dxa"/>
              <w:bottom w:w="65" w:type="dxa"/>
              <w:end w:w="75" w:type="dxa"/>
            </w:tcMar>
          </w:tcPr>
          <w:p>
            <w:pPr>
              <w:spacing w:after="0"/>
            </w:pPr>
            <w:r>
              <w:rPr>
                <w:b/>
              </w:rPr>
              <w:t>Resultado</w:t>
            </w:r>
          </w:p>
        </w:tc>
      </w:tr>
      <w:tr>
        <w:trPr>
          <w:trHeight w:hRule="atLeast"/>
        </w:trPr>
        <w:tc>
          <w:tcPr>
            <w:tcW w:type="dxa" w:w="3600"/>
            <w:tcMar>
              <w:top w:w="65" w:type="dxa"/>
              <w:start w:w="75" w:type="dxa"/>
              <w:bottom w:w="65" w:type="dxa"/>
              <w:end w:w="75" w:type="dxa"/>
            </w:tcMar>
            <w:vAlign w:val="top"/>
          </w:tcPr>
          <w:p>
            <w:pPr>
              <w:keepLines/>
              <w:spacing w:after="0"/>
            </w:pPr>
            <w:r>
              <w:t>F + F</w:t>
            </w:r>
          </w:p>
        </w:tc>
        <w:tc>
          <w:tcPr>
            <w:tcW w:type="dxa" w:w="6480"/>
            <w:tcMar>
              <w:top w:w="65" w:type="dxa"/>
              <w:start w:w="75" w:type="dxa"/>
              <w:bottom w:w="65" w:type="dxa"/>
              <w:end w:w="75" w:type="dxa"/>
            </w:tcMar>
            <w:vAlign w:val="top"/>
          </w:tcPr>
          <w:p>
            <w:pPr>
              <w:keepLines/>
              <w:spacing w:after="0"/>
            </w:pPr>
            <w:r>
              <w:t>F</w:t>
            </w:r>
          </w:p>
        </w:tc>
      </w:tr>
      <w:tr>
        <w:trPr>
          <w:trHeight w:hRule="atLeast"/>
        </w:trPr>
        <w:tc>
          <w:tcPr>
            <w:tcW w:type="dxa" w:w="3600"/>
            <w:tcMar>
              <w:top w:w="65" w:type="dxa"/>
              <w:start w:w="75" w:type="dxa"/>
              <w:bottom w:w="65" w:type="dxa"/>
              <w:end w:w="75" w:type="dxa"/>
            </w:tcMar>
            <w:vAlign w:val="top"/>
          </w:tcPr>
          <w:p>
            <w:pPr>
              <w:keepLines/>
              <w:spacing w:after="0"/>
            </w:pPr>
            <w:r>
              <w:t>D + D</w:t>
            </w:r>
          </w:p>
        </w:tc>
        <w:tc>
          <w:tcPr>
            <w:tcW w:type="dxa" w:w="6480"/>
            <w:tcMar>
              <w:top w:w="65" w:type="dxa"/>
              <w:start w:w="75" w:type="dxa"/>
              <w:bottom w:w="65" w:type="dxa"/>
              <w:end w:w="75" w:type="dxa"/>
            </w:tcMar>
            <w:vAlign w:val="top"/>
          </w:tcPr>
          <w:p>
            <w:pPr>
              <w:keepLines/>
              <w:spacing w:after="0"/>
            </w:pPr>
            <w:r>
              <w:t>D</w:t>
            </w:r>
          </w:p>
        </w:tc>
      </w:tr>
      <w:tr>
        <w:trPr>
          <w:trHeight w:hRule="atLeast"/>
        </w:trPr>
        <w:tc>
          <w:tcPr>
            <w:tcW w:type="dxa" w:w="3600"/>
            <w:tcMar>
              <w:top w:w="65" w:type="dxa"/>
              <w:start w:w="75" w:type="dxa"/>
              <w:bottom w:w="65" w:type="dxa"/>
              <w:end w:w="75" w:type="dxa"/>
            </w:tcMar>
            <w:vAlign w:val="top"/>
          </w:tcPr>
          <w:p>
            <w:pPr>
              <w:keepLines/>
              <w:spacing w:after="0"/>
            </w:pPr>
            <w:r>
              <w:t>F + I</w:t>
            </w:r>
          </w:p>
        </w:tc>
        <w:tc>
          <w:tcPr>
            <w:tcW w:type="dxa" w:w="6480"/>
            <w:tcMar>
              <w:top w:w="65" w:type="dxa"/>
              <w:start w:w="75" w:type="dxa"/>
              <w:bottom w:w="65" w:type="dxa"/>
              <w:end w:w="75" w:type="dxa"/>
            </w:tcMar>
            <w:vAlign w:val="top"/>
          </w:tcPr>
          <w:p>
            <w:pPr>
              <w:keepLines/>
              <w:spacing w:after="0"/>
            </w:pPr>
            <w:r>
              <w:t>F</w:t>
            </w:r>
          </w:p>
        </w:tc>
      </w:tr>
      <w:tr>
        <w:trPr>
          <w:trHeight w:hRule="atLeast"/>
        </w:trPr>
        <w:tc>
          <w:tcPr>
            <w:tcW w:type="dxa" w:w="3600"/>
            <w:tcMar>
              <w:top w:w="65" w:type="dxa"/>
              <w:start w:w="75" w:type="dxa"/>
              <w:bottom w:w="65" w:type="dxa"/>
              <w:end w:w="75" w:type="dxa"/>
            </w:tcMar>
            <w:vAlign w:val="top"/>
          </w:tcPr>
          <w:p>
            <w:pPr>
              <w:keepLines/>
              <w:spacing w:after="0"/>
            </w:pPr>
            <w:r>
              <w:t>D + I</w:t>
            </w:r>
          </w:p>
        </w:tc>
        <w:tc>
          <w:tcPr>
            <w:tcW w:type="dxa" w:w="6480"/>
            <w:tcMar>
              <w:top w:w="65" w:type="dxa"/>
              <w:start w:w="75" w:type="dxa"/>
              <w:bottom w:w="65" w:type="dxa"/>
              <w:end w:w="75" w:type="dxa"/>
            </w:tcMar>
            <w:vAlign w:val="top"/>
          </w:tcPr>
          <w:p>
            <w:pPr>
              <w:keepLines/>
              <w:spacing w:after="0"/>
            </w:pPr>
            <w:r>
              <w:t>D</w:t>
            </w:r>
          </w:p>
        </w:tc>
      </w:tr>
      <w:tr>
        <w:trPr>
          <w:trHeight w:hRule="atLeast"/>
        </w:trPr>
        <w:tc>
          <w:tcPr>
            <w:tcW w:type="dxa" w:w="3600"/>
            <w:tcMar>
              <w:top w:w="65" w:type="dxa"/>
              <w:start w:w="75" w:type="dxa"/>
              <w:bottom w:w="65" w:type="dxa"/>
              <w:end w:w="75" w:type="dxa"/>
            </w:tcMar>
            <w:vAlign w:val="top"/>
          </w:tcPr>
          <w:p>
            <w:pPr>
              <w:keepLines/>
              <w:spacing w:after="0"/>
            </w:pPr>
            <w:r>
              <w:t>I + I</w:t>
            </w:r>
          </w:p>
        </w:tc>
        <w:tc>
          <w:tcPr>
            <w:tcW w:type="dxa" w:w="6480"/>
            <w:tcMar>
              <w:top w:w="65" w:type="dxa"/>
              <w:start w:w="75" w:type="dxa"/>
              <w:bottom w:w="65" w:type="dxa"/>
              <w:end w:w="75" w:type="dxa"/>
            </w:tcMar>
            <w:vAlign w:val="top"/>
          </w:tcPr>
          <w:p>
            <w:pPr>
              <w:keepLines/>
              <w:spacing w:after="0"/>
            </w:pPr>
            <w:r>
              <w:t>I</w:t>
            </w:r>
          </w:p>
        </w:tc>
      </w:tr>
      <w:tr>
        <w:trPr>
          <w:trHeight w:hRule="atLeast"/>
        </w:trPr>
        <w:tc>
          <w:tcPr>
            <w:tcW w:type="dxa" w:w="3600"/>
            <w:tcMar>
              <w:top w:w="65" w:type="dxa"/>
              <w:start w:w="75" w:type="dxa"/>
              <w:bottom w:w="65" w:type="dxa"/>
              <w:end w:w="75" w:type="dxa"/>
            </w:tcMar>
            <w:vAlign w:val="top"/>
          </w:tcPr>
          <w:p>
            <w:pPr>
              <w:keepLines/>
              <w:spacing w:after="0"/>
            </w:pPr>
            <w:r>
              <w:t>F + D</w:t>
            </w:r>
          </w:p>
        </w:tc>
        <w:tc>
          <w:tcPr>
            <w:tcW w:type="dxa" w:w="6480"/>
            <w:tcMar>
              <w:top w:w="65" w:type="dxa"/>
              <w:start w:w="75" w:type="dxa"/>
              <w:bottom w:w="65" w:type="dxa"/>
              <w:end w:w="75" w:type="dxa"/>
            </w:tcMar>
            <w:vAlign w:val="top"/>
          </w:tcPr>
          <w:p>
            <w:pPr>
              <w:keepLines/>
              <w:spacing w:after="0"/>
            </w:pPr>
            <w:r>
              <w:t>N_A + INTERNAL_INCONSISTENCY</w:t>
            </w:r>
          </w:p>
        </w:tc>
      </w:tr>
    </w:tbl>
    <w:p>
      <w:pPr>
        <w:spacing w:after="20"/>
      </w:pPr>
    </w:p>
    <w:p>
      <w:r>
        <w:t>F+D dentro de la misma unidad de evidencia es inconsistencia técnica, no divergencia diagnóstica. La resolución debe preservar los KPI originales y emitir flag.</w:t>
      </w:r>
    </w:p>
    <w:p>
      <w:pPr>
        <w:pStyle w:val="Heading1"/>
      </w:pPr>
      <w:r>
        <w:t>15. Motor KPI → PHENOMENON</w:t>
      </w:r>
    </w:p>
    <w:p>
      <w:r>
        <w:t>Primero se filtra evidencia utilizable; después se colapsan grupos dependientes; luego se resuelve la evidencia DIRECT y finalmente se evalúan PROXY.</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600"/>
            <w:shd w:fill="D9E2F3"/>
            <w:tcMar>
              <w:top w:w="65" w:type="dxa"/>
              <w:start w:w="75" w:type="dxa"/>
              <w:bottom w:w="65" w:type="dxa"/>
              <w:end w:w="75" w:type="dxa"/>
            </w:tcMar>
          </w:tcPr>
          <w:p>
            <w:pPr>
              <w:spacing w:after="0"/>
            </w:pPr>
            <w:r>
              <w:rPr>
                <w:b/>
              </w:rPr>
              <w:t>DIRECT utilizable</w:t>
            </w:r>
          </w:p>
        </w:tc>
        <w:tc>
          <w:tcPr>
            <w:tcW w:type="dxa" w:w="6480"/>
            <w:shd w:fill="D9E2F3"/>
            <w:tcMar>
              <w:top w:w="65" w:type="dxa"/>
              <w:start w:w="75" w:type="dxa"/>
              <w:bottom w:w="65" w:type="dxa"/>
              <w:end w:w="75" w:type="dxa"/>
            </w:tcMar>
          </w:tcPr>
          <w:p>
            <w:pPr>
              <w:spacing w:after="0"/>
            </w:pPr>
            <w:r>
              <w:rPr>
                <w:b/>
              </w:rPr>
              <w:t>PHENOMENON_pos</w:t>
            </w:r>
          </w:p>
        </w:tc>
      </w:tr>
      <w:tr>
        <w:trPr>
          <w:trHeight w:hRule="atLeast"/>
        </w:trPr>
        <w:tc>
          <w:tcPr>
            <w:tcW w:type="dxa" w:w="3600"/>
            <w:tcMar>
              <w:top w:w="65" w:type="dxa"/>
              <w:start w:w="75" w:type="dxa"/>
              <w:bottom w:w="65" w:type="dxa"/>
              <w:end w:w="75" w:type="dxa"/>
            </w:tcMar>
            <w:vAlign w:val="top"/>
          </w:tcPr>
          <w:p>
            <w:pPr>
              <w:keepLines/>
              <w:spacing w:after="0"/>
            </w:pPr>
            <w:r>
              <w:t>solo F</w:t>
            </w:r>
          </w:p>
        </w:tc>
        <w:tc>
          <w:tcPr>
            <w:tcW w:type="dxa" w:w="6480"/>
            <w:tcMar>
              <w:top w:w="65" w:type="dxa"/>
              <w:start w:w="75" w:type="dxa"/>
              <w:bottom w:w="65" w:type="dxa"/>
              <w:end w:w="75" w:type="dxa"/>
            </w:tcMar>
            <w:vAlign w:val="top"/>
          </w:tcPr>
          <w:p>
            <w:pPr>
              <w:keepLines/>
              <w:spacing w:after="0"/>
            </w:pPr>
            <w:r>
              <w:t>F</w:t>
            </w:r>
          </w:p>
        </w:tc>
      </w:tr>
      <w:tr>
        <w:trPr>
          <w:trHeight w:hRule="atLeast"/>
        </w:trPr>
        <w:tc>
          <w:tcPr>
            <w:tcW w:type="dxa" w:w="3600"/>
            <w:tcMar>
              <w:top w:w="65" w:type="dxa"/>
              <w:start w:w="75" w:type="dxa"/>
              <w:bottom w:w="65" w:type="dxa"/>
              <w:end w:w="75" w:type="dxa"/>
            </w:tcMar>
            <w:vAlign w:val="top"/>
          </w:tcPr>
          <w:p>
            <w:pPr>
              <w:keepLines/>
              <w:spacing w:after="0"/>
            </w:pPr>
            <w:r>
              <w:t>solo D</w:t>
            </w:r>
          </w:p>
        </w:tc>
        <w:tc>
          <w:tcPr>
            <w:tcW w:type="dxa" w:w="6480"/>
            <w:tcMar>
              <w:top w:w="65" w:type="dxa"/>
              <w:start w:w="75" w:type="dxa"/>
              <w:bottom w:w="65" w:type="dxa"/>
              <w:end w:w="75" w:type="dxa"/>
            </w:tcMar>
            <w:vAlign w:val="top"/>
          </w:tcPr>
          <w:p>
            <w:pPr>
              <w:keepLines/>
              <w:spacing w:after="0"/>
            </w:pPr>
            <w:r>
              <w:t>D</w:t>
            </w:r>
          </w:p>
        </w:tc>
      </w:tr>
      <w:tr>
        <w:trPr>
          <w:trHeight w:hRule="atLeast"/>
        </w:trPr>
        <w:tc>
          <w:tcPr>
            <w:tcW w:type="dxa" w:w="3600"/>
            <w:tcMar>
              <w:top w:w="65" w:type="dxa"/>
              <w:start w:w="75" w:type="dxa"/>
              <w:bottom w:w="65" w:type="dxa"/>
              <w:end w:w="75" w:type="dxa"/>
            </w:tcMar>
            <w:vAlign w:val="top"/>
          </w:tcPr>
          <w:p>
            <w:pPr>
              <w:keepLines/>
              <w:spacing w:after="0"/>
            </w:pPr>
            <w:r>
              <w:t>solo I</w:t>
            </w:r>
          </w:p>
        </w:tc>
        <w:tc>
          <w:tcPr>
            <w:tcW w:type="dxa" w:w="6480"/>
            <w:tcMar>
              <w:top w:w="65" w:type="dxa"/>
              <w:start w:w="75" w:type="dxa"/>
              <w:bottom w:w="65" w:type="dxa"/>
              <w:end w:w="75" w:type="dxa"/>
            </w:tcMar>
            <w:vAlign w:val="top"/>
          </w:tcPr>
          <w:p>
            <w:pPr>
              <w:keepLines/>
              <w:spacing w:after="0"/>
            </w:pPr>
            <w:r>
              <w:t>I</w:t>
            </w:r>
          </w:p>
        </w:tc>
      </w:tr>
      <w:tr>
        <w:trPr>
          <w:trHeight w:hRule="atLeast"/>
        </w:trPr>
        <w:tc>
          <w:tcPr>
            <w:tcW w:type="dxa" w:w="3600"/>
            <w:tcMar>
              <w:top w:w="65" w:type="dxa"/>
              <w:start w:w="75" w:type="dxa"/>
              <w:bottom w:w="65" w:type="dxa"/>
              <w:end w:w="75" w:type="dxa"/>
            </w:tcMar>
            <w:vAlign w:val="top"/>
          </w:tcPr>
          <w:p>
            <w:pPr>
              <w:keepLines/>
              <w:spacing w:after="0"/>
            </w:pPr>
            <w:r>
              <w:t>F + I</w:t>
            </w:r>
          </w:p>
        </w:tc>
        <w:tc>
          <w:tcPr>
            <w:tcW w:type="dxa" w:w="6480"/>
            <w:tcMar>
              <w:top w:w="65" w:type="dxa"/>
              <w:start w:w="75" w:type="dxa"/>
              <w:bottom w:w="65" w:type="dxa"/>
              <w:end w:w="75" w:type="dxa"/>
            </w:tcMar>
            <w:vAlign w:val="top"/>
          </w:tcPr>
          <w:p>
            <w:pPr>
              <w:keepLines/>
              <w:spacing w:after="0"/>
            </w:pPr>
            <w:r>
              <w:t>F</w:t>
            </w:r>
          </w:p>
        </w:tc>
      </w:tr>
      <w:tr>
        <w:trPr>
          <w:trHeight w:hRule="atLeast"/>
        </w:trPr>
        <w:tc>
          <w:tcPr>
            <w:tcW w:type="dxa" w:w="3600"/>
            <w:tcMar>
              <w:top w:w="65" w:type="dxa"/>
              <w:start w:w="75" w:type="dxa"/>
              <w:bottom w:w="65" w:type="dxa"/>
              <w:end w:w="75" w:type="dxa"/>
            </w:tcMar>
            <w:vAlign w:val="top"/>
          </w:tcPr>
          <w:p>
            <w:pPr>
              <w:keepLines/>
              <w:spacing w:after="0"/>
            </w:pPr>
            <w:r>
              <w:t>D + I</w:t>
            </w:r>
          </w:p>
        </w:tc>
        <w:tc>
          <w:tcPr>
            <w:tcW w:type="dxa" w:w="6480"/>
            <w:tcMar>
              <w:top w:w="65" w:type="dxa"/>
              <w:start w:w="75" w:type="dxa"/>
              <w:bottom w:w="65" w:type="dxa"/>
              <w:end w:w="75" w:type="dxa"/>
            </w:tcMar>
            <w:vAlign w:val="top"/>
          </w:tcPr>
          <w:p>
            <w:pPr>
              <w:keepLines/>
              <w:spacing w:after="0"/>
            </w:pPr>
            <w:r>
              <w:t>D</w:t>
            </w:r>
          </w:p>
        </w:tc>
      </w:tr>
      <w:tr>
        <w:trPr>
          <w:trHeight w:hRule="atLeast"/>
        </w:trPr>
        <w:tc>
          <w:tcPr>
            <w:tcW w:type="dxa" w:w="3600"/>
            <w:tcMar>
              <w:top w:w="65" w:type="dxa"/>
              <w:start w:w="75" w:type="dxa"/>
              <w:bottom w:w="65" w:type="dxa"/>
              <w:end w:w="75" w:type="dxa"/>
            </w:tcMar>
            <w:vAlign w:val="top"/>
          </w:tcPr>
          <w:p>
            <w:pPr>
              <w:keepLines/>
              <w:spacing w:after="0"/>
            </w:pPr>
            <w:r>
              <w:t>F + D</w:t>
            </w:r>
          </w:p>
        </w:tc>
        <w:tc>
          <w:tcPr>
            <w:tcW w:type="dxa" w:w="6480"/>
            <w:tcMar>
              <w:top w:w="65" w:type="dxa"/>
              <w:start w:w="75" w:type="dxa"/>
              <w:bottom w:w="65" w:type="dxa"/>
              <w:end w:w="75" w:type="dxa"/>
            </w:tcMar>
            <w:vAlign w:val="top"/>
          </w:tcPr>
          <w:p>
            <w:pPr>
              <w:keepLines/>
              <w:spacing w:after="0"/>
            </w:pPr>
            <w:r>
              <w:t>I</w:t>
            </w:r>
          </w:p>
        </w:tc>
      </w:tr>
      <w:tr>
        <w:trPr>
          <w:trHeight w:hRule="atLeast"/>
        </w:trPr>
        <w:tc>
          <w:tcPr>
            <w:tcW w:type="dxa" w:w="3600"/>
            <w:tcMar>
              <w:top w:w="65" w:type="dxa"/>
              <w:start w:w="75" w:type="dxa"/>
              <w:bottom w:w="65" w:type="dxa"/>
              <w:end w:w="75" w:type="dxa"/>
            </w:tcMar>
            <w:vAlign w:val="top"/>
          </w:tcPr>
          <w:p>
            <w:pPr>
              <w:keepLines/>
              <w:spacing w:after="0"/>
            </w:pPr>
            <w:r>
              <w:t>F + D + I</w:t>
            </w:r>
          </w:p>
        </w:tc>
        <w:tc>
          <w:tcPr>
            <w:tcW w:type="dxa" w:w="6480"/>
            <w:tcMar>
              <w:top w:w="65" w:type="dxa"/>
              <w:start w:w="75" w:type="dxa"/>
              <w:bottom w:w="65" w:type="dxa"/>
              <w:end w:w="75" w:type="dxa"/>
            </w:tcMar>
            <w:vAlign w:val="top"/>
          </w:tcPr>
          <w:p>
            <w:pPr>
              <w:keepLines/>
              <w:spacing w:after="0"/>
            </w:pPr>
            <w:r>
              <w:t>I</w:t>
            </w:r>
          </w:p>
        </w:tc>
      </w:tr>
    </w:tbl>
    <w:p>
      <w:pPr>
        <w:spacing w:after="20"/>
      </w:pPr>
    </w:p>
    <w:p>
      <w:r>
        <w:t>DIRECT tiene precedencia inferencial frente a PROXY sin pesos. Si DIRECT es resolutivo, PROXY no cambia posición. Si no existe DIRECT utilizable, PROXY solo puede sustentar posición cuando proxy_allowed_as_primary=true.</w:t>
      </w:r>
    </w:p>
    <w:p>
      <w:pPr>
        <w:pStyle w:val="Heading2"/>
      </w:pPr>
      <w:r>
        <w:t>15.1 PHENOMENON_STATE</w:t>
      </w:r>
    </w:p>
    <w:p>
      <w:pPr>
        <w:pStyle w:val="TechnicalBlock"/>
      </w:pPr>
      <w:r>
        <w:t>PHENOMENON_STATE</w:t>
        <w:br/>
        <w:t xml:space="preserve">  phenomenon_state_id</w:t>
        <w:br/>
        <w:t xml:space="preserve">  phenomenon_id</w:t>
        <w:br/>
        <w:t xml:space="preserve">  node_id</w:t>
        <w:br/>
        <w:t xml:space="preserve">  period</w:t>
        <w:br/>
        <w:t xml:space="preserve">  pos</w:t>
        <w:br/>
        <w:t xml:space="preserve">  traj</w:t>
        <w:br/>
        <w:t xml:space="preserve">  pers</w:t>
        <w:br/>
        <w:t xml:space="preserve">  det_run</w:t>
        <w:br/>
        <w:t xml:space="preserve">  det_duration?</w:t>
        <w:br/>
        <w:t xml:space="preserve">  admissibility</w:t>
        <w:br/>
        <w:t xml:space="preserve">  freshness</w:t>
        <w:br/>
        <w:t xml:space="preserve">  coverage_status</w:t>
        <w:br/>
        <w:t xml:space="preserve">  evidence_basis: DIRECT | PROXY | NONE</w:t>
        <w:br/>
        <w:t xml:space="preserve">  evidence_group_profile[]</w:t>
        <w:br/>
        <w:t xml:space="preserve">  metric_definition_versions[]</w:t>
        <w:br/>
        <w:t xml:space="preserve">  temporal_pattern</w:t>
        <w:br/>
        <w:t xml:space="preserve">  series_stability</w:t>
        <w:br/>
        <w:t xml:space="preserve">  regime_status</w:t>
        <w:br/>
        <w:t xml:space="preserve">  deterioration_present</w:t>
        <w:br/>
        <w:t xml:space="preserve">  flags[]</w:t>
      </w:r>
    </w:p>
    <w:p>
      <w:pPr>
        <w:pStyle w:val="Heading1"/>
      </w:pPr>
      <w:r>
        <w:t>16. Cobertura y admisibilidad del fenómeno</w:t>
      </w:r>
    </w:p>
    <w:p>
      <w:r>
        <w:t>Cada fenómeno declara grupos requeridos y opcionales. COVERAGE_STATUS = COMPLETE | PARTIAL | NONE en el nivel fenómeno. La cobertura no se usa como peso.</w:t>
      </w:r>
    </w:p>
    <w:p>
      <w:r>
        <w:t>La posición observable y la suficiencia inferencial permanecen separadas. Puede existir F observable con cobertura parcial y admisibilidad insuficiente; D puede ser admisible con cobertura parcial si una unidad autorizada establece deterioro y no existe contradicción DIRECT F sin resolver.</w:t>
      </w:r>
    </w:p>
    <w:p>
      <w:pPr>
        <w:spacing w:before="100" w:after="140"/>
        <w:ind w:left="360" w:right="288"/>
      </w:pPr>
      <w:r>
        <w:rPr>
          <w:b/>
        </w:rPr>
        <w:t>Detectar deterioro y demostrar favorabilidad completa no exigen necesariamente la misma cobertura.</w:t>
      </w:r>
    </w:p>
    <w:p>
      <w:pPr>
        <w:pStyle w:val="Heading1"/>
      </w:pPr>
      <w:r>
        <w:t>17. Compatibilidad temporal y lag</w:t>
      </w:r>
    </w:p>
    <w:p>
      <w:r>
        <w:t>Antes de declarar divergencia se verifica contemporaneidad y compatibilidad temporal. COINCIDENT y LAGGED son roles observacionales, no afirmaciones causales.</w:t>
      </w:r>
    </w:p>
    <w:p>
      <w:r>
        <w:t>Una discrepancia compatible con expected_lag se marca TEMPORAL_LAG_COMPATIBLE y no se convierte automáticamente en contradicción. Un lag no autoriza usar un KPI futuro para clasificar retrospectivamente otro nivel.</w:t>
      </w:r>
    </w:p>
    <w:p>
      <w:pPr>
        <w:pStyle w:val="Heading1"/>
      </w:pPr>
      <w:r>
        <w:t>18. Motor PHENOMENON → DOMAIN</w:t>
      </w:r>
    </w:p>
    <w:p>
      <w:r>
        <w:t>Los fenómenos se clasifican CORE o SUPPORTING. Son roles inferenciales, no pesos. Todo dominio aplicable debe declarar al menos un CORE.</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12"/>
            <w:shd w:fill="D9E2F3"/>
            <w:tcMar>
              <w:top w:w="65" w:type="dxa"/>
              <w:start w:w="75" w:type="dxa"/>
              <w:bottom w:w="65" w:type="dxa"/>
              <w:end w:w="75" w:type="dxa"/>
            </w:tcMar>
          </w:tcPr>
          <w:p>
            <w:pPr>
              <w:spacing w:after="0"/>
            </w:pPr>
            <w:r>
              <w:rPr>
                <w:b/>
              </w:rPr>
              <w:t>CORE utilizable</w:t>
            </w:r>
          </w:p>
        </w:tc>
        <w:tc>
          <w:tcPr>
            <w:tcW w:type="dxa" w:w="2448"/>
            <w:shd w:fill="D9E2F3"/>
            <w:tcMar>
              <w:top w:w="65" w:type="dxa"/>
              <w:start w:w="75" w:type="dxa"/>
              <w:bottom w:w="65" w:type="dxa"/>
              <w:end w:w="75" w:type="dxa"/>
            </w:tcMar>
          </w:tcPr>
          <w:p>
            <w:pPr>
              <w:spacing w:after="0"/>
            </w:pPr>
            <w:r>
              <w:rPr>
                <w:b/>
              </w:rPr>
              <w:t>Supporting D</w:t>
            </w:r>
          </w:p>
        </w:tc>
        <w:tc>
          <w:tcPr>
            <w:tcW w:type="dxa" w:w="4320"/>
            <w:shd w:fill="D9E2F3"/>
            <w:tcMar>
              <w:top w:w="65" w:type="dxa"/>
              <w:start w:w="75" w:type="dxa"/>
              <w:bottom w:w="65" w:type="dxa"/>
              <w:end w:w="75" w:type="dxa"/>
            </w:tcMar>
          </w:tcPr>
          <w:p>
            <w:pPr>
              <w:spacing w:after="0"/>
            </w:pPr>
            <w:r>
              <w:rPr>
                <w:b/>
              </w:rPr>
              <w:t>DOMAIN_pos</w:t>
            </w:r>
          </w:p>
        </w:tc>
      </w:tr>
      <w:tr>
        <w:trPr>
          <w:trHeight w:hRule="atLeast"/>
        </w:trPr>
        <w:tc>
          <w:tcPr>
            <w:tcW w:type="dxa" w:w="3312"/>
            <w:tcMar>
              <w:top w:w="65" w:type="dxa"/>
              <w:start w:w="75" w:type="dxa"/>
              <w:bottom w:w="65" w:type="dxa"/>
              <w:end w:w="75" w:type="dxa"/>
            </w:tcMar>
            <w:vAlign w:val="top"/>
          </w:tcPr>
          <w:p>
            <w:pPr>
              <w:keepLines/>
              <w:spacing w:after="0"/>
            </w:pPr>
            <w:r>
              <w:t>ninguno</w:t>
            </w:r>
          </w:p>
        </w:tc>
        <w:tc>
          <w:tcPr>
            <w:tcW w:type="dxa" w:w="2448"/>
            <w:tcMar>
              <w:top w:w="65" w:type="dxa"/>
              <w:start w:w="75" w:type="dxa"/>
              <w:bottom w:w="65" w:type="dxa"/>
              <w:end w:w="75" w:type="dxa"/>
            </w:tcMar>
            <w:vAlign w:val="top"/>
          </w:tcPr>
          <w:p>
            <w:pPr>
              <w:keepLines/>
              <w:spacing w:after="0"/>
            </w:pPr>
            <w:r>
              <w:t>cualquiera</w:t>
            </w:r>
          </w:p>
        </w:tc>
        <w:tc>
          <w:tcPr>
            <w:tcW w:type="dxa" w:w="4320"/>
            <w:tcMar>
              <w:top w:w="65" w:type="dxa"/>
              <w:start w:w="75" w:type="dxa"/>
              <w:bottom w:w="65" w:type="dxa"/>
              <w:end w:w="75" w:type="dxa"/>
            </w:tcMar>
            <w:vAlign w:val="top"/>
          </w:tcPr>
          <w:p>
            <w:pPr>
              <w:keepLines/>
              <w:spacing w:after="0"/>
            </w:pPr>
            <w:r>
              <w:t>N_A</w:t>
            </w:r>
          </w:p>
        </w:tc>
      </w:tr>
      <w:tr>
        <w:trPr>
          <w:trHeight w:hRule="atLeast"/>
        </w:trPr>
        <w:tc>
          <w:tcPr>
            <w:tcW w:type="dxa" w:w="3312"/>
            <w:tcMar>
              <w:top w:w="65" w:type="dxa"/>
              <w:start w:w="75" w:type="dxa"/>
              <w:bottom w:w="65" w:type="dxa"/>
              <w:end w:w="75" w:type="dxa"/>
            </w:tcMar>
            <w:vAlign w:val="top"/>
          </w:tcPr>
          <w:p>
            <w:pPr>
              <w:keepLines/>
              <w:spacing w:after="0"/>
            </w:pPr>
            <w:r>
              <w:t>solo F</w:t>
            </w:r>
          </w:p>
        </w:tc>
        <w:tc>
          <w:tcPr>
            <w:tcW w:type="dxa" w:w="2448"/>
            <w:tcMar>
              <w:top w:w="65" w:type="dxa"/>
              <w:start w:w="75" w:type="dxa"/>
              <w:bottom w:w="65" w:type="dxa"/>
              <w:end w:w="75" w:type="dxa"/>
            </w:tcMar>
            <w:vAlign w:val="top"/>
          </w:tcPr>
          <w:p>
            <w:pPr>
              <w:keepLines/>
              <w:spacing w:after="0"/>
            </w:pPr>
            <w:r>
              <w:t>no</w:t>
            </w:r>
          </w:p>
        </w:tc>
        <w:tc>
          <w:tcPr>
            <w:tcW w:type="dxa" w:w="4320"/>
            <w:tcMar>
              <w:top w:w="65" w:type="dxa"/>
              <w:start w:w="75" w:type="dxa"/>
              <w:bottom w:w="65" w:type="dxa"/>
              <w:end w:w="75" w:type="dxa"/>
            </w:tcMar>
            <w:vAlign w:val="top"/>
          </w:tcPr>
          <w:p>
            <w:pPr>
              <w:keepLines/>
              <w:spacing w:after="0"/>
            </w:pPr>
            <w:r>
              <w:t>F</w:t>
            </w:r>
          </w:p>
        </w:tc>
      </w:tr>
      <w:tr>
        <w:trPr>
          <w:trHeight w:hRule="atLeast"/>
        </w:trPr>
        <w:tc>
          <w:tcPr>
            <w:tcW w:type="dxa" w:w="3312"/>
            <w:tcMar>
              <w:top w:w="65" w:type="dxa"/>
              <w:start w:w="75" w:type="dxa"/>
              <w:bottom w:w="65" w:type="dxa"/>
              <w:end w:w="75" w:type="dxa"/>
            </w:tcMar>
            <w:vAlign w:val="top"/>
          </w:tcPr>
          <w:p>
            <w:pPr>
              <w:keepLines/>
              <w:spacing w:after="0"/>
            </w:pPr>
            <w:r>
              <w:t>solo F</w:t>
            </w:r>
          </w:p>
        </w:tc>
        <w:tc>
          <w:tcPr>
            <w:tcW w:type="dxa" w:w="2448"/>
            <w:tcMar>
              <w:top w:w="65" w:type="dxa"/>
              <w:start w:w="75" w:type="dxa"/>
              <w:bottom w:w="65" w:type="dxa"/>
              <w:end w:w="75" w:type="dxa"/>
            </w:tcMar>
            <w:vAlign w:val="top"/>
          </w:tcPr>
          <w:p>
            <w:pPr>
              <w:keepLines/>
              <w:spacing w:after="0"/>
            </w:pPr>
            <w:r>
              <w:t>sí</w:t>
            </w:r>
          </w:p>
        </w:tc>
        <w:tc>
          <w:tcPr>
            <w:tcW w:type="dxa" w:w="4320"/>
            <w:tcMar>
              <w:top w:w="65" w:type="dxa"/>
              <w:start w:w="75" w:type="dxa"/>
              <w:bottom w:w="65" w:type="dxa"/>
              <w:end w:w="75" w:type="dxa"/>
            </w:tcMar>
            <w:vAlign w:val="top"/>
          </w:tcPr>
          <w:p>
            <w:pPr>
              <w:keepLines/>
              <w:spacing w:after="0"/>
            </w:pPr>
            <w:r>
              <w:t>I</w:t>
            </w:r>
          </w:p>
        </w:tc>
      </w:tr>
      <w:tr>
        <w:trPr>
          <w:trHeight w:hRule="atLeast"/>
        </w:trPr>
        <w:tc>
          <w:tcPr>
            <w:tcW w:type="dxa" w:w="3312"/>
            <w:tcMar>
              <w:top w:w="65" w:type="dxa"/>
              <w:start w:w="75" w:type="dxa"/>
              <w:bottom w:w="65" w:type="dxa"/>
              <w:end w:w="75" w:type="dxa"/>
            </w:tcMar>
            <w:vAlign w:val="top"/>
          </w:tcPr>
          <w:p>
            <w:pPr>
              <w:keepLines/>
              <w:spacing w:after="0"/>
            </w:pPr>
            <w:r>
              <w:t>F + I</w:t>
            </w:r>
          </w:p>
        </w:tc>
        <w:tc>
          <w:tcPr>
            <w:tcW w:type="dxa" w:w="2448"/>
            <w:tcMar>
              <w:top w:w="65" w:type="dxa"/>
              <w:start w:w="75" w:type="dxa"/>
              <w:bottom w:w="65" w:type="dxa"/>
              <w:end w:w="75" w:type="dxa"/>
            </w:tcMar>
            <w:vAlign w:val="top"/>
          </w:tcPr>
          <w:p>
            <w:pPr>
              <w:keepLines/>
              <w:spacing w:after="0"/>
            </w:pPr>
            <w:r>
              <w:t>no</w:t>
            </w:r>
          </w:p>
        </w:tc>
        <w:tc>
          <w:tcPr>
            <w:tcW w:type="dxa" w:w="4320"/>
            <w:tcMar>
              <w:top w:w="65" w:type="dxa"/>
              <w:start w:w="75" w:type="dxa"/>
              <w:bottom w:w="65" w:type="dxa"/>
              <w:end w:w="75" w:type="dxa"/>
            </w:tcMar>
            <w:vAlign w:val="top"/>
          </w:tcPr>
          <w:p>
            <w:pPr>
              <w:keepLines/>
              <w:spacing w:after="0"/>
            </w:pPr>
            <w:r>
              <w:t>F</w:t>
            </w:r>
          </w:p>
        </w:tc>
      </w:tr>
      <w:tr>
        <w:trPr>
          <w:trHeight w:hRule="atLeast"/>
        </w:trPr>
        <w:tc>
          <w:tcPr>
            <w:tcW w:type="dxa" w:w="3312"/>
            <w:tcMar>
              <w:top w:w="65" w:type="dxa"/>
              <w:start w:w="75" w:type="dxa"/>
              <w:bottom w:w="65" w:type="dxa"/>
              <w:end w:w="75" w:type="dxa"/>
            </w:tcMar>
            <w:vAlign w:val="top"/>
          </w:tcPr>
          <w:p>
            <w:pPr>
              <w:keepLines/>
              <w:spacing w:after="0"/>
            </w:pPr>
            <w:r>
              <w:t>F + I</w:t>
            </w:r>
          </w:p>
        </w:tc>
        <w:tc>
          <w:tcPr>
            <w:tcW w:type="dxa" w:w="2448"/>
            <w:tcMar>
              <w:top w:w="65" w:type="dxa"/>
              <w:start w:w="75" w:type="dxa"/>
              <w:bottom w:w="65" w:type="dxa"/>
              <w:end w:w="75" w:type="dxa"/>
            </w:tcMar>
            <w:vAlign w:val="top"/>
          </w:tcPr>
          <w:p>
            <w:pPr>
              <w:keepLines/>
              <w:spacing w:after="0"/>
            </w:pPr>
            <w:r>
              <w:t>sí</w:t>
            </w:r>
          </w:p>
        </w:tc>
        <w:tc>
          <w:tcPr>
            <w:tcW w:type="dxa" w:w="4320"/>
            <w:tcMar>
              <w:top w:w="65" w:type="dxa"/>
              <w:start w:w="75" w:type="dxa"/>
              <w:bottom w:w="65" w:type="dxa"/>
              <w:end w:w="75" w:type="dxa"/>
            </w:tcMar>
            <w:vAlign w:val="top"/>
          </w:tcPr>
          <w:p>
            <w:pPr>
              <w:keepLines/>
              <w:spacing w:after="0"/>
            </w:pPr>
            <w:r>
              <w:t>I</w:t>
            </w:r>
          </w:p>
        </w:tc>
      </w:tr>
      <w:tr>
        <w:trPr>
          <w:trHeight w:hRule="atLeast"/>
        </w:trPr>
        <w:tc>
          <w:tcPr>
            <w:tcW w:type="dxa" w:w="3312"/>
            <w:tcMar>
              <w:top w:w="65" w:type="dxa"/>
              <w:start w:w="75" w:type="dxa"/>
              <w:bottom w:w="65" w:type="dxa"/>
              <w:end w:w="75" w:type="dxa"/>
            </w:tcMar>
            <w:vAlign w:val="top"/>
          </w:tcPr>
          <w:p>
            <w:pPr>
              <w:keepLines/>
              <w:spacing w:after="0"/>
            </w:pPr>
            <w:r>
              <w:t>solo I</w:t>
            </w:r>
          </w:p>
        </w:tc>
        <w:tc>
          <w:tcPr>
            <w:tcW w:type="dxa" w:w="2448"/>
            <w:tcMar>
              <w:top w:w="65" w:type="dxa"/>
              <w:start w:w="75" w:type="dxa"/>
              <w:bottom w:w="65" w:type="dxa"/>
              <w:end w:w="75" w:type="dxa"/>
            </w:tcMar>
            <w:vAlign w:val="top"/>
          </w:tcPr>
          <w:p>
            <w:pPr>
              <w:keepLines/>
              <w:spacing w:after="0"/>
            </w:pPr>
            <w:r>
              <w:t>cualquiera</w:t>
            </w:r>
          </w:p>
        </w:tc>
        <w:tc>
          <w:tcPr>
            <w:tcW w:type="dxa" w:w="4320"/>
            <w:tcMar>
              <w:top w:w="65" w:type="dxa"/>
              <w:start w:w="75" w:type="dxa"/>
              <w:bottom w:w="65" w:type="dxa"/>
              <w:end w:w="75" w:type="dxa"/>
            </w:tcMar>
            <w:vAlign w:val="top"/>
          </w:tcPr>
          <w:p>
            <w:pPr>
              <w:keepLines/>
              <w:spacing w:after="0"/>
            </w:pPr>
            <w:r>
              <w:t>I</w:t>
            </w:r>
          </w:p>
        </w:tc>
      </w:tr>
      <w:tr>
        <w:trPr>
          <w:trHeight w:hRule="atLeast"/>
        </w:trPr>
        <w:tc>
          <w:tcPr>
            <w:tcW w:type="dxa" w:w="3312"/>
            <w:tcMar>
              <w:top w:w="65" w:type="dxa"/>
              <w:start w:w="75" w:type="dxa"/>
              <w:bottom w:w="65" w:type="dxa"/>
              <w:end w:w="75" w:type="dxa"/>
            </w:tcMar>
            <w:vAlign w:val="top"/>
          </w:tcPr>
          <w:p>
            <w:pPr>
              <w:keepLines/>
              <w:spacing w:after="0"/>
            </w:pPr>
            <w:r>
              <w:t>D sin F</w:t>
            </w:r>
          </w:p>
        </w:tc>
        <w:tc>
          <w:tcPr>
            <w:tcW w:type="dxa" w:w="2448"/>
            <w:tcMar>
              <w:top w:w="65" w:type="dxa"/>
              <w:start w:w="75" w:type="dxa"/>
              <w:bottom w:w="65" w:type="dxa"/>
              <w:end w:w="75" w:type="dxa"/>
            </w:tcMar>
            <w:vAlign w:val="top"/>
          </w:tcPr>
          <w:p>
            <w:pPr>
              <w:keepLines/>
              <w:spacing w:after="0"/>
            </w:pPr>
            <w:r>
              <w:t>cualquiera</w:t>
            </w:r>
          </w:p>
        </w:tc>
        <w:tc>
          <w:tcPr>
            <w:tcW w:type="dxa" w:w="4320"/>
            <w:tcMar>
              <w:top w:w="65" w:type="dxa"/>
              <w:start w:w="75" w:type="dxa"/>
              <w:bottom w:w="65" w:type="dxa"/>
              <w:end w:w="75" w:type="dxa"/>
            </w:tcMar>
            <w:vAlign w:val="top"/>
          </w:tcPr>
          <w:p>
            <w:pPr>
              <w:keepLines/>
              <w:spacing w:after="0"/>
            </w:pPr>
            <w:r>
              <w:t>D</w:t>
            </w:r>
          </w:p>
        </w:tc>
      </w:tr>
      <w:tr>
        <w:trPr>
          <w:trHeight w:hRule="atLeast"/>
        </w:trPr>
        <w:tc>
          <w:tcPr>
            <w:tcW w:type="dxa" w:w="3312"/>
            <w:tcMar>
              <w:top w:w="65" w:type="dxa"/>
              <w:start w:w="75" w:type="dxa"/>
              <w:bottom w:w="65" w:type="dxa"/>
              <w:end w:w="75" w:type="dxa"/>
            </w:tcMar>
            <w:vAlign w:val="top"/>
          </w:tcPr>
          <w:p>
            <w:pPr>
              <w:keepLines/>
              <w:spacing w:after="0"/>
            </w:pPr>
            <w:r>
              <w:t>F + D</w:t>
            </w:r>
          </w:p>
        </w:tc>
        <w:tc>
          <w:tcPr>
            <w:tcW w:type="dxa" w:w="2448"/>
            <w:tcMar>
              <w:top w:w="65" w:type="dxa"/>
              <w:start w:w="75" w:type="dxa"/>
              <w:bottom w:w="65" w:type="dxa"/>
              <w:end w:w="75" w:type="dxa"/>
            </w:tcMar>
            <w:vAlign w:val="top"/>
          </w:tcPr>
          <w:p>
            <w:pPr>
              <w:keepLines/>
              <w:spacing w:after="0"/>
            </w:pPr>
            <w:r>
              <w:t>cualquiera</w:t>
            </w:r>
          </w:p>
        </w:tc>
        <w:tc>
          <w:tcPr>
            <w:tcW w:type="dxa" w:w="4320"/>
            <w:tcMar>
              <w:top w:w="65" w:type="dxa"/>
              <w:start w:w="75" w:type="dxa"/>
              <w:bottom w:w="65" w:type="dxa"/>
              <w:end w:w="75" w:type="dxa"/>
            </w:tcMar>
            <w:vAlign w:val="top"/>
          </w:tcPr>
          <w:p>
            <w:pPr>
              <w:keepLines/>
              <w:spacing w:after="0"/>
            </w:pPr>
            <w:r>
              <w:t>I</w:t>
            </w:r>
          </w:p>
        </w:tc>
      </w:tr>
    </w:tbl>
    <w:p>
      <w:pPr>
        <w:spacing w:after="20"/>
      </w:pPr>
    </w:p>
    <w:p>
      <w:r>
        <w:t>SUPPORTING no sustituye CORE ausente. CORE D no se neutraliza con SUPPORTING F. SUPPORTING D impide presentar como plenamente favorable un dominio cuyo núcleo permanece F.</w:t>
      </w:r>
    </w:p>
    <w:p>
      <w:pPr>
        <w:pStyle w:val="Heading2"/>
      </w:pPr>
      <w:r>
        <w:t>18.1 DOMAIN_STATE</w:t>
      </w:r>
    </w:p>
    <w:p>
      <w:pPr>
        <w:pStyle w:val="TechnicalBlock"/>
      </w:pPr>
      <w:r>
        <w:t>DOMAIN_STATE</w:t>
        <w:br/>
        <w:t xml:space="preserve">  domain_state_id</w:t>
        <w:br/>
        <w:t xml:space="preserve">  domain_id</w:t>
        <w:br/>
        <w:t xml:space="preserve">  node_id</w:t>
        <w:br/>
        <w:t xml:space="preserve">  period</w:t>
        <w:br/>
        <w:t xml:space="preserve">  applicability: REQUIRED | OPTIONAL | NOT_APPLICABLE</w:t>
        <w:br/>
        <w:t xml:space="preserve">  pos</w:t>
        <w:br/>
        <w:t xml:space="preserve">  traj</w:t>
        <w:br/>
        <w:t xml:space="preserve">  pers</w:t>
        <w:br/>
        <w:t xml:space="preserve">  det_run</w:t>
        <w:br/>
        <w:t xml:space="preserve">  det_duration?</w:t>
        <w:br/>
        <w:t xml:space="preserve">  admissibility</w:t>
        <w:br/>
        <w:t xml:space="preserve">  freshness</w:t>
        <w:br/>
        <w:t xml:space="preserve">  coverage_status</w:t>
        <w:br/>
        <w:t xml:space="preserve">  deterioration_present</w:t>
        <w:br/>
        <w:t xml:space="preserve">  core_profile[]</w:t>
        <w:br/>
        <w:t xml:space="preserve">  supporting_profile[]</w:t>
        <w:br/>
        <w:t xml:space="preserve">  flags[]</w:t>
      </w:r>
    </w:p>
    <w:p>
      <w:pPr>
        <w:pStyle w:val="Heading1"/>
      </w:pPr>
      <w:r>
        <w:t>19. Admisibilidad del dominio</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728"/>
            <w:shd w:fill="D9E2F3"/>
            <w:tcMar>
              <w:top w:w="65" w:type="dxa"/>
              <w:start w:w="75" w:type="dxa"/>
              <w:bottom w:w="65" w:type="dxa"/>
              <w:end w:w="75" w:type="dxa"/>
            </w:tcMar>
          </w:tcPr>
          <w:p>
            <w:pPr>
              <w:spacing w:after="0"/>
            </w:pPr>
            <w:r>
              <w:rPr>
                <w:b/>
              </w:rPr>
              <w:t>DOMAIN_pos</w:t>
            </w:r>
          </w:p>
        </w:tc>
        <w:tc>
          <w:tcPr>
            <w:tcW w:type="dxa" w:w="8352"/>
            <w:shd w:fill="D9E2F3"/>
            <w:tcMar>
              <w:top w:w="65" w:type="dxa"/>
              <w:start w:w="75" w:type="dxa"/>
              <w:bottom w:w="65" w:type="dxa"/>
              <w:end w:w="75" w:type="dxa"/>
            </w:tcMar>
          </w:tcPr>
          <w:p>
            <w:pPr>
              <w:spacing w:after="0"/>
            </w:pPr>
            <w:r>
              <w:rPr>
                <w:b/>
              </w:rPr>
              <w:t>Condición mínima para inferencia admisible</w:t>
            </w:r>
          </w:p>
        </w:tc>
      </w:tr>
      <w:tr>
        <w:trPr>
          <w:trHeight w:hRule="atLeast"/>
        </w:trPr>
        <w:tc>
          <w:tcPr>
            <w:tcW w:type="dxa" w:w="1728"/>
            <w:tcMar>
              <w:top w:w="65" w:type="dxa"/>
              <w:start w:w="75" w:type="dxa"/>
              <w:bottom w:w="65" w:type="dxa"/>
              <w:end w:w="75" w:type="dxa"/>
            </w:tcMar>
            <w:vAlign w:val="top"/>
          </w:tcPr>
          <w:p>
            <w:pPr>
              <w:keepLines/>
              <w:spacing w:after="0"/>
            </w:pPr>
            <w:r>
              <w:t>F</w:t>
            </w:r>
          </w:p>
        </w:tc>
        <w:tc>
          <w:tcPr>
            <w:tcW w:type="dxa" w:w="8352"/>
            <w:tcMar>
              <w:top w:w="65" w:type="dxa"/>
              <w:start w:w="75" w:type="dxa"/>
              <w:bottom w:w="65" w:type="dxa"/>
              <w:end w:w="75" w:type="dxa"/>
            </w:tcMar>
            <w:vAlign w:val="top"/>
          </w:tcPr>
          <w:p>
            <w:pPr>
              <w:keepLines/>
              <w:spacing w:after="0"/>
            </w:pPr>
            <w:r>
              <w:t>CORE requeridos observados/vigentes y F; sin SUPPORTING D; cobertura suficiente.</w:t>
            </w:r>
          </w:p>
        </w:tc>
      </w:tr>
      <w:tr>
        <w:trPr>
          <w:trHeight w:hRule="atLeast"/>
        </w:trPr>
        <w:tc>
          <w:tcPr>
            <w:tcW w:type="dxa" w:w="1728"/>
            <w:tcMar>
              <w:top w:w="65" w:type="dxa"/>
              <w:start w:w="75" w:type="dxa"/>
              <w:bottom w:w="65" w:type="dxa"/>
              <w:end w:w="75" w:type="dxa"/>
            </w:tcMar>
            <w:vAlign w:val="top"/>
          </w:tcPr>
          <w:p>
            <w:pPr>
              <w:keepLines/>
              <w:spacing w:after="0"/>
            </w:pPr>
            <w:r>
              <w:t>D</w:t>
            </w:r>
          </w:p>
        </w:tc>
        <w:tc>
          <w:tcPr>
            <w:tcW w:type="dxa" w:w="8352"/>
            <w:tcMar>
              <w:top w:w="65" w:type="dxa"/>
              <w:start w:w="75" w:type="dxa"/>
              <w:bottom w:w="65" w:type="dxa"/>
              <w:end w:w="75" w:type="dxa"/>
            </w:tcMar>
            <w:vAlign w:val="top"/>
          </w:tcPr>
          <w:p>
            <w:pPr>
              <w:keepLines/>
              <w:spacing w:after="0"/>
            </w:pPr>
            <w:r>
              <w:t>Al menos un CORE D suficiente y válido; sin CORE F contradictorio no resuelto.</w:t>
            </w:r>
          </w:p>
        </w:tc>
      </w:tr>
      <w:tr>
        <w:trPr>
          <w:trHeight w:hRule="atLeast"/>
        </w:trPr>
        <w:tc>
          <w:tcPr>
            <w:tcW w:type="dxa" w:w="1728"/>
            <w:tcMar>
              <w:top w:w="65" w:type="dxa"/>
              <w:start w:w="75" w:type="dxa"/>
              <w:bottom w:w="65" w:type="dxa"/>
              <w:end w:w="75" w:type="dxa"/>
            </w:tcMar>
            <w:vAlign w:val="top"/>
          </w:tcPr>
          <w:p>
            <w:pPr>
              <w:keepLines/>
              <w:spacing w:after="0"/>
            </w:pPr>
            <w:r>
              <w:t>I</w:t>
            </w:r>
          </w:p>
        </w:tc>
        <w:tc>
          <w:tcPr>
            <w:tcW w:type="dxa" w:w="8352"/>
            <w:tcMar>
              <w:top w:w="65" w:type="dxa"/>
              <w:start w:w="75" w:type="dxa"/>
              <w:bottom w:w="65" w:type="dxa"/>
              <w:end w:w="75" w:type="dxa"/>
            </w:tcMar>
            <w:vAlign w:val="top"/>
          </w:tcPr>
          <w:p>
            <w:pPr>
              <w:keepLines/>
              <w:spacing w:after="0"/>
            </w:pPr>
            <w:r>
              <w:t>Evidencia válida sustenta indeterminación o divergencia real.</w:t>
            </w:r>
          </w:p>
        </w:tc>
      </w:tr>
      <w:tr>
        <w:trPr>
          <w:trHeight w:hRule="atLeast"/>
        </w:trPr>
        <w:tc>
          <w:tcPr>
            <w:tcW w:type="dxa" w:w="1728"/>
            <w:tcMar>
              <w:top w:w="65" w:type="dxa"/>
              <w:start w:w="75" w:type="dxa"/>
              <w:bottom w:w="65" w:type="dxa"/>
              <w:end w:w="75" w:type="dxa"/>
            </w:tcMar>
            <w:vAlign w:val="top"/>
          </w:tcPr>
          <w:p>
            <w:pPr>
              <w:keepLines/>
              <w:spacing w:after="0"/>
            </w:pPr>
            <w:r>
              <w:t>N_A</w:t>
            </w:r>
          </w:p>
        </w:tc>
        <w:tc>
          <w:tcPr>
            <w:tcW w:type="dxa" w:w="8352"/>
            <w:tcMar>
              <w:top w:w="65" w:type="dxa"/>
              <w:start w:w="75" w:type="dxa"/>
              <w:bottom w:w="65" w:type="dxa"/>
              <w:end w:w="75" w:type="dxa"/>
            </w:tcMar>
            <w:vAlign w:val="top"/>
          </w:tcPr>
          <w:p>
            <w:pPr>
              <w:keepLines/>
              <w:spacing w:after="0"/>
            </w:pPr>
            <w:r>
              <w:t>No existe base suficiente; admisibilidad inferencial=false.</w:t>
            </w:r>
          </w:p>
        </w:tc>
      </w:tr>
    </w:tbl>
    <w:p>
      <w:pPr>
        <w:spacing w:after="20"/>
      </w:pPr>
    </w:p>
    <w:p>
      <w:r>
        <w:t>I puede ser una conclusión altamente admisible. No debe degradarse por confundirse con falta de datos.</w:t>
      </w:r>
    </w:p>
    <w:p>
      <w:pPr>
        <w:pStyle w:val="Heading1"/>
      </w:pPr>
      <w:r>
        <w:t>20. Motor DOMAIN → EFO</w:t>
      </w:r>
    </w:p>
    <w:p>
      <w:r>
        <w:t>EFO integra DOMAIN_STATE ya resueltos. No reabre KPI ni fenómenos. Conserva domain_profile y node_profile.</w:t>
      </w:r>
    </w:p>
    <w:p>
      <w:pPr>
        <w:jc w:val="center"/>
      </w:pPr>
      <w:r>
        <w:rPr>
          <w:b/>
        </w:rPr>
        <w:t>DETERIORATION_PRESENT ≠ EFO_pos</w:t>
      </w:r>
    </w:p>
    <w:p>
      <w:r>
        <w:t>deterioration_present=true cuando existe deterioro operacional válidamente establecido dentro del universo observado, aunque la posición EFO integrada sea I.</w:t>
      </w:r>
    </w:p>
    <w:p>
      <w:pPr>
        <w:pStyle w:val="Heading2"/>
      </w:pPr>
      <w:r>
        <w:t>20.1 Regla determinista</w:t>
      </w:r>
    </w:p>
    <w:p>
      <w:pPr>
        <w:pStyle w:val="ListBullet"/>
      </w:pPr>
      <w:r>
        <w:t>Si no existe ningún dominio REQUIRED clasificable: EFO_pos=N_A.</w:t>
      </w:r>
    </w:p>
    <w:p>
      <w:pPr>
        <w:pStyle w:val="ListBullet"/>
      </w:pPr>
      <w:r>
        <w:t>Si existe al menos un REQUIRED clasificable en D: EFO_pos=D.</w:t>
      </w:r>
    </w:p>
    <w:p>
      <w:pPr>
        <w:pStyle w:val="ListBullet"/>
      </w:pPr>
      <w:r>
        <w:t>Si no existe REQUIRED en D y existe al menos un REQUIRED clasificable en I: EFO_pos=I.</w:t>
      </w:r>
    </w:p>
    <w:p>
      <w:pPr>
        <w:pStyle w:val="ListBullet"/>
      </w:pPr>
      <w:r>
        <w:t>Si todos los REQUIRED clasificables están F y existe OPTIONAL clasificable D: EFO_pos=I y deterioration_present=true.</w:t>
      </w:r>
    </w:p>
    <w:p>
      <w:pPr>
        <w:pStyle w:val="ListBullet"/>
      </w:pPr>
      <w:r>
        <w:t>Si todos los REQUIRED clasificables están F y ningún OPTIONAL clasificable está D: EFO_pos=F.</w:t>
      </w:r>
    </w:p>
    <w:p>
      <w:pPr>
        <w:pStyle w:val="ListBullet"/>
      </w:pPr>
      <w:r>
        <w:t>La evidencia OPTIONAL no sustituye el núcleo REQUIRED.</w:t>
      </w:r>
    </w:p>
    <w:p>
      <w:pPr>
        <w:pStyle w:val="ListBullet"/>
      </w:pPr>
      <w:r>
        <w:t>La ausencia de REQUIRED se expresa mediante cobertura/admisibilidad; no se convierte en I.</w:t>
      </w:r>
    </w:p>
    <w:p>
      <w:pPr>
        <w:pStyle w:val="ListBullet"/>
      </w:pPr>
      <w:r>
        <w:t>EFO_admissibility para F exige required_coverage_complete y ausencia de OPTIONAL D.</w:t>
      </w:r>
    </w:p>
    <w:p>
      <w:pPr>
        <w:pStyle w:val="ListBullet"/>
      </w:pPr>
      <w:r>
        <w:t>EFO D puede ser admisible con cobertura parcial si un REQUIRED D está válidamente establecido.</w:t>
      </w:r>
    </w:p>
    <w:p>
      <w:pPr>
        <w:pStyle w:val="ListBullet"/>
      </w:pPr>
      <w:r>
        <w:t>EFO I puede ser admisible cuando deriva de evidencia válida divergente/indeterminada, no de ausencia.</w:t>
      </w:r>
    </w:p>
    <w:p>
      <w:r>
        <w:t>No existe votación, promedio, ponderación ni porcentaje de dominios para resolver EFO_pos.</w:t>
      </w:r>
    </w:p>
    <w:p>
      <w:pPr>
        <w:pStyle w:val="Heading1"/>
      </w:pPr>
      <w:r>
        <w:t>21. Trayectoria y persistencia EFO</w:t>
      </w:r>
    </w:p>
    <w:p>
      <w:r>
        <w:t>EFO_traj integra transición de posición y cambio de configuración de dominios. Puede mejorar o deteriorarse aun cuando EFO_pos permanezca D.</w:t>
      </w:r>
    </w:p>
    <w:p>
      <w:pPr>
        <w:pStyle w:val="ListBullet"/>
      </w:pPr>
      <w:r>
        <w:t>D → I/F o I → F: IMPROVING si el cambio no deriva de pérdida de evidencia.</w:t>
      </w:r>
    </w:p>
    <w:p>
      <w:pPr>
        <w:pStyle w:val="ListBullet"/>
      </w:pPr>
      <w:r>
        <w:t>F → I/D o I → D: DETERIORATING si el cambio refleja operación real.</w:t>
      </w:r>
    </w:p>
    <w:p>
      <w:pPr>
        <w:pStyle w:val="ListBullet"/>
      </w:pPr>
      <w:r>
        <w:t>EFO permanece D y disminuyen dominios D sin nuevos deterioros: puede ser IMPROVING.</w:t>
      </w:r>
    </w:p>
    <w:p>
      <w:pPr>
        <w:pStyle w:val="ListBullet"/>
      </w:pPr>
      <w:r>
        <w:t>EFO permanece D y aparecen nuevos dominios D: puede ser DETERIORATING.</w:t>
      </w:r>
    </w:p>
    <w:p>
      <w:pPr>
        <w:pStyle w:val="ListBullet"/>
      </w:pPr>
      <w:r>
        <w:t>Sin comparación temporal admisible: N_A.</w:t>
      </w:r>
    </w:p>
    <w:p>
      <w:pPr>
        <w:pStyle w:val="ListBullet"/>
      </w:pPr>
      <w:r>
        <w:t>Salir de D no equivale a alcanzar F; RECOVERY pertenece a AIE.</w:t>
      </w:r>
    </w:p>
    <w:p>
      <w:r>
        <w:t>EFO_det_run se calcula sobre la historia de EFO_pos. Si el locus del deterioro cambia entre dominios, la persistencia significa condición operacional deteriorada persistente, no persistencia del mismo problema.</w:t>
      </w:r>
    </w:p>
    <w:p>
      <w:pPr>
        <w:pStyle w:val="Heading1"/>
      </w:pPr>
      <w:r>
        <w:t>22. Nodos, alcance y jerarquía</w:t>
      </w:r>
    </w:p>
    <w:p>
      <w:r>
        <w:t>PIIO ejecuta la misma lógica por nodo cuando los datos lo permiten. Cada observación y estado conserva node_id, node_level y scope.</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592"/>
            <w:shd w:fill="D9E2F3"/>
            <w:tcMar>
              <w:top w:w="65" w:type="dxa"/>
              <w:start w:w="75" w:type="dxa"/>
              <w:bottom w:w="65" w:type="dxa"/>
              <w:end w:w="75" w:type="dxa"/>
            </w:tcMar>
          </w:tcPr>
          <w:p>
            <w:pPr>
              <w:spacing w:after="0"/>
            </w:pPr>
            <w:r>
              <w:rPr>
                <w:b/>
              </w:rPr>
              <w:t>SCOPE</w:t>
            </w:r>
          </w:p>
        </w:tc>
        <w:tc>
          <w:tcPr>
            <w:tcW w:type="dxa" w:w="7488"/>
            <w:shd w:fill="D9E2F3"/>
            <w:tcMar>
              <w:top w:w="65" w:type="dxa"/>
              <w:start w:w="75" w:type="dxa"/>
              <w:bottom w:w="65" w:type="dxa"/>
              <w:end w:w="75" w:type="dxa"/>
            </w:tcMar>
          </w:tcPr>
          <w:p>
            <w:pPr>
              <w:spacing w:after="0"/>
            </w:pPr>
            <w:r>
              <w:rPr>
                <w:b/>
              </w:rPr>
              <w:t>Regla</w:t>
            </w:r>
          </w:p>
        </w:tc>
      </w:tr>
      <w:tr>
        <w:trPr>
          <w:trHeight w:hRule="atLeast"/>
        </w:trPr>
        <w:tc>
          <w:tcPr>
            <w:tcW w:type="dxa" w:w="2592"/>
            <w:tcMar>
              <w:top w:w="65" w:type="dxa"/>
              <w:start w:w="75" w:type="dxa"/>
              <w:bottom w:w="65" w:type="dxa"/>
              <w:end w:w="75" w:type="dxa"/>
            </w:tcMar>
            <w:vAlign w:val="top"/>
          </w:tcPr>
          <w:p>
            <w:pPr>
              <w:keepLines/>
              <w:spacing w:after="0"/>
            </w:pPr>
            <w:r>
              <w:t>ORGANIZATIONAL</w:t>
            </w:r>
          </w:p>
        </w:tc>
        <w:tc>
          <w:tcPr>
            <w:tcW w:type="dxa" w:w="7488"/>
            <w:tcMar>
              <w:top w:w="65" w:type="dxa"/>
              <w:start w:w="75" w:type="dxa"/>
              <w:bottom w:w="65" w:type="dxa"/>
              <w:end w:w="75" w:type="dxa"/>
            </w:tcMar>
            <w:vAlign w:val="top"/>
          </w:tcPr>
          <w:p>
            <w:pPr>
              <w:keepLines/>
              <w:spacing w:after="0"/>
            </w:pPr>
            <w:r>
              <w:t>Pertenece al universo usado para resolver EFO organizacional.</w:t>
            </w:r>
          </w:p>
        </w:tc>
      </w:tr>
      <w:tr>
        <w:trPr>
          <w:trHeight w:hRule="atLeast"/>
        </w:trPr>
        <w:tc>
          <w:tcPr>
            <w:tcW w:type="dxa" w:w="2592"/>
            <w:tcMar>
              <w:top w:w="65" w:type="dxa"/>
              <w:start w:w="75" w:type="dxa"/>
              <w:bottom w:w="65" w:type="dxa"/>
              <w:end w:w="75" w:type="dxa"/>
            </w:tcMar>
            <w:vAlign w:val="top"/>
          </w:tcPr>
          <w:p>
            <w:pPr>
              <w:keepLines/>
              <w:spacing w:after="0"/>
            </w:pPr>
            <w:r>
              <w:t>SEGMENT_ONLY</w:t>
            </w:r>
          </w:p>
        </w:tc>
        <w:tc>
          <w:tcPr>
            <w:tcW w:type="dxa" w:w="7488"/>
            <w:tcMar>
              <w:top w:w="65" w:type="dxa"/>
              <w:start w:w="75" w:type="dxa"/>
              <w:bottom w:w="65" w:type="dxa"/>
              <w:end w:w="75" w:type="dxa"/>
            </w:tcMar>
            <w:vAlign w:val="top"/>
          </w:tcPr>
          <w:p>
            <w:pPr>
              <w:keepLines/>
              <w:spacing w:after="0"/>
            </w:pPr>
            <w:r>
              <w:t>Resuelve el nodo/segmento y se conserva para localización; no eleva por sí solo EFO organizacional.</w:t>
            </w:r>
          </w:p>
        </w:tc>
      </w:tr>
    </w:tbl>
    <w:p>
      <w:pPr>
        <w:spacing w:after="20"/>
      </w:pPr>
    </w:p>
    <w:p>
      <w:r>
        <w:t>La EFO organizacional se calcula con evidencia cuyo alcance sea ORGANIZATIONAL o con una regla explícita de agregación de nodos mutuamente excluyentes. Nunca se mezclan padre e hijos si el padre ya los contiene.</w:t>
      </w:r>
    </w:p>
    <w:p>
      <w:pPr>
        <w:pStyle w:val="Heading2"/>
      </w:pPr>
      <w:r>
        <w:t>22.1 Node set</w:t>
      </w:r>
    </w:p>
    <w:p>
      <w:r>
        <w:t>NODE_SET debe declarar nodos mutuamente excluyentes para agregación. Un resultado SEGMENT_ONLY no se escala por tamaño ni headcount sin una regla formal de representatividad.</w:t>
      </w:r>
    </w:p>
    <w:p>
      <w:pPr>
        <w:pStyle w:val="Heading2"/>
      </w:pPr>
      <w:r>
        <w:t>22.2 AIE</w:t>
      </w:r>
    </w:p>
    <w:p>
      <w:r>
        <w:t>PIIO entrega node_profile[]; AIE decide NODE_CONCENTRATION y POLARIZATION. PIIO no duplica esos modificadores.</w:t>
      </w:r>
    </w:p>
    <w:p>
      <w:pPr>
        <w:pStyle w:val="Heading1"/>
      </w:pPr>
      <w:r>
        <w:t>23. Agregación operacional y denominadores</w:t>
      </w:r>
    </w:p>
    <w:p>
      <w:r>
        <w:t>La auditoría v1.1 explicita que agregar nodos no significa promediar KPI. La agregación depende del tipo de métrica.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1872"/>
            <w:shd w:fill="D9E2F3"/>
            <w:tcMar>
              <w:top w:w="65" w:type="dxa"/>
              <w:start w:w="75" w:type="dxa"/>
              <w:bottom w:w="65" w:type="dxa"/>
              <w:end w:w="75" w:type="dxa"/>
            </w:tcMar>
          </w:tcPr>
          <w:p>
            <w:pPr>
              <w:spacing w:after="0"/>
            </w:pPr>
            <w:r>
              <w:rPr>
                <w:b/>
              </w:rPr>
              <w:t>Métrica</w:t>
            </w:r>
          </w:p>
        </w:tc>
        <w:tc>
          <w:tcPr>
            <w:tcW w:type="dxa" w:w="8208"/>
            <w:shd w:fill="D9E2F3"/>
            <w:tcMar>
              <w:top w:w="65" w:type="dxa"/>
              <w:start w:w="75" w:type="dxa"/>
              <w:bottom w:w="65" w:type="dxa"/>
              <w:end w:w="75" w:type="dxa"/>
            </w:tcMar>
          </w:tcPr>
          <w:p>
            <w:pPr>
              <w:spacing w:after="0"/>
            </w:pPr>
            <w:r>
              <w:rPr>
                <w:b/>
              </w:rPr>
              <w:t>Regla general</w:t>
            </w:r>
          </w:p>
        </w:tc>
      </w:tr>
      <w:tr>
        <w:trPr>
          <w:trHeight w:hRule="atLeast"/>
        </w:trPr>
        <w:tc>
          <w:tcPr>
            <w:tcW w:type="dxa" w:w="1872"/>
            <w:tcMar>
              <w:top w:w="65" w:type="dxa"/>
              <w:start w:w="75" w:type="dxa"/>
              <w:bottom w:w="65" w:type="dxa"/>
              <w:end w:w="75" w:type="dxa"/>
            </w:tcMar>
            <w:vAlign w:val="top"/>
          </w:tcPr>
          <w:p>
            <w:pPr>
              <w:keepLines/>
              <w:spacing w:after="0"/>
            </w:pPr>
            <w:r>
              <w:t>COUNT</w:t>
            </w:r>
          </w:p>
        </w:tc>
        <w:tc>
          <w:tcPr>
            <w:tcW w:type="dxa" w:w="8208"/>
            <w:tcMar>
              <w:top w:w="65" w:type="dxa"/>
              <w:start w:w="75" w:type="dxa"/>
              <w:bottom w:w="65" w:type="dxa"/>
              <w:end w:w="75" w:type="dxa"/>
            </w:tcMar>
            <w:vAlign w:val="top"/>
          </w:tcPr>
          <w:p>
            <w:pPr>
              <w:keepLines/>
              <w:spacing w:after="0"/>
            </w:pPr>
            <w:r>
              <w:t>Suma solo entre unidades/períodos compatibles y mutuamente excluyentes.</w:t>
            </w:r>
          </w:p>
        </w:tc>
      </w:tr>
      <w:tr>
        <w:trPr>
          <w:trHeight w:hRule="atLeast"/>
        </w:trPr>
        <w:tc>
          <w:tcPr>
            <w:tcW w:type="dxa" w:w="1872"/>
            <w:tcMar>
              <w:top w:w="65" w:type="dxa"/>
              <w:start w:w="75" w:type="dxa"/>
              <w:bottom w:w="65" w:type="dxa"/>
              <w:end w:w="75" w:type="dxa"/>
            </w:tcMar>
            <w:vAlign w:val="top"/>
          </w:tcPr>
          <w:p>
            <w:pPr>
              <w:keepLines/>
              <w:spacing w:after="0"/>
            </w:pPr>
            <w:r>
              <w:t>RATE</w:t>
            </w:r>
          </w:p>
        </w:tc>
        <w:tc>
          <w:tcPr>
            <w:tcW w:type="dxa" w:w="8208"/>
            <w:tcMar>
              <w:top w:w="65" w:type="dxa"/>
              <w:start w:w="75" w:type="dxa"/>
              <w:bottom w:w="65" w:type="dxa"/>
              <w:end w:w="75" w:type="dxa"/>
            </w:tcMar>
            <w:vAlign w:val="top"/>
          </w:tcPr>
          <w:p>
            <w:pPr>
              <w:keepLines/>
              <w:spacing w:after="0"/>
            </w:pPr>
            <w:r>
              <w:t>Preferir recomputar desde numerador/denominador agregados; no promedio simple de tasas.</w:t>
            </w:r>
          </w:p>
        </w:tc>
      </w:tr>
      <w:tr>
        <w:trPr>
          <w:trHeight w:hRule="atLeast"/>
        </w:trPr>
        <w:tc>
          <w:tcPr>
            <w:tcW w:type="dxa" w:w="1872"/>
            <w:tcMar>
              <w:top w:w="65" w:type="dxa"/>
              <w:start w:w="75" w:type="dxa"/>
              <w:bottom w:w="65" w:type="dxa"/>
              <w:end w:w="75" w:type="dxa"/>
            </w:tcMar>
            <w:vAlign w:val="top"/>
          </w:tcPr>
          <w:p>
            <w:pPr>
              <w:keepLines/>
              <w:spacing w:after="0"/>
            </w:pPr>
            <w:r>
              <w:t>RATIO</w:t>
            </w:r>
          </w:p>
        </w:tc>
        <w:tc>
          <w:tcPr>
            <w:tcW w:type="dxa" w:w="8208"/>
            <w:tcMar>
              <w:top w:w="65" w:type="dxa"/>
              <w:start w:w="75" w:type="dxa"/>
              <w:bottom w:w="65" w:type="dxa"/>
              <w:end w:w="75" w:type="dxa"/>
            </w:tcMar>
            <w:vAlign w:val="top"/>
          </w:tcPr>
          <w:p>
            <w:pPr>
              <w:keepLines/>
              <w:spacing w:after="0"/>
            </w:pPr>
            <w:r>
              <w:t>Recalcular desde componentes cuando sea matemáticamente válido.</w:t>
            </w:r>
          </w:p>
        </w:tc>
      </w:tr>
      <w:tr>
        <w:trPr>
          <w:trHeight w:hRule="atLeast"/>
        </w:trPr>
        <w:tc>
          <w:tcPr>
            <w:tcW w:type="dxa" w:w="1872"/>
            <w:tcMar>
              <w:top w:w="65" w:type="dxa"/>
              <w:start w:w="75" w:type="dxa"/>
              <w:bottom w:w="65" w:type="dxa"/>
              <w:end w:w="75" w:type="dxa"/>
            </w:tcMar>
            <w:vAlign w:val="top"/>
          </w:tcPr>
          <w:p>
            <w:pPr>
              <w:keepLines/>
              <w:spacing w:after="0"/>
            </w:pPr>
            <w:r>
              <w:t>DURATION</w:t>
            </w:r>
          </w:p>
        </w:tc>
        <w:tc>
          <w:tcPr>
            <w:tcW w:type="dxa" w:w="8208"/>
            <w:tcMar>
              <w:top w:w="65" w:type="dxa"/>
              <w:start w:w="75" w:type="dxa"/>
              <w:bottom w:w="65" w:type="dxa"/>
              <w:end w:w="75" w:type="dxa"/>
            </w:tcMar>
            <w:vAlign w:val="top"/>
          </w:tcPr>
          <w:p>
            <w:pPr>
              <w:keepLines/>
              <w:spacing w:after="0"/>
            </w:pPr>
            <w:r>
              <w:t>Definir agregador operacional válido; no asumir media simple.</w:t>
            </w:r>
          </w:p>
        </w:tc>
      </w:tr>
      <w:tr>
        <w:trPr>
          <w:trHeight w:hRule="atLeast"/>
        </w:trPr>
        <w:tc>
          <w:tcPr>
            <w:tcW w:type="dxa" w:w="1872"/>
            <w:tcMar>
              <w:top w:w="65" w:type="dxa"/>
              <w:start w:w="75" w:type="dxa"/>
              <w:bottom w:w="65" w:type="dxa"/>
              <w:end w:w="75" w:type="dxa"/>
            </w:tcMar>
            <w:vAlign w:val="top"/>
          </w:tcPr>
          <w:p>
            <w:pPr>
              <w:keepLines/>
              <w:spacing w:after="0"/>
            </w:pPr>
            <w:r>
              <w:t>INDEX</w:t>
            </w:r>
          </w:p>
        </w:tc>
        <w:tc>
          <w:tcPr>
            <w:tcW w:type="dxa" w:w="8208"/>
            <w:tcMar>
              <w:top w:w="65" w:type="dxa"/>
              <w:start w:w="75" w:type="dxa"/>
              <w:bottom w:w="65" w:type="dxa"/>
              <w:end w:w="75" w:type="dxa"/>
            </w:tcMar>
            <w:vAlign w:val="top"/>
          </w:tcPr>
          <w:p>
            <w:pPr>
              <w:keepLines/>
              <w:spacing w:after="0"/>
            </w:pPr>
            <w:r>
              <w:t>Solo agregar si la especificación del índice define método válido.</w:t>
            </w:r>
          </w:p>
        </w:tc>
      </w:tr>
      <w:tr>
        <w:trPr>
          <w:trHeight w:hRule="atLeast"/>
        </w:trPr>
        <w:tc>
          <w:tcPr>
            <w:tcW w:type="dxa" w:w="1872"/>
            <w:tcMar>
              <w:top w:w="65" w:type="dxa"/>
              <w:start w:w="75" w:type="dxa"/>
              <w:bottom w:w="65" w:type="dxa"/>
              <w:end w:w="75" w:type="dxa"/>
            </w:tcMar>
            <w:vAlign w:val="top"/>
          </w:tcPr>
          <w:p>
            <w:pPr>
              <w:keepLines/>
              <w:spacing w:after="0"/>
            </w:pPr>
            <w:r>
              <w:t>BINARY</w:t>
            </w:r>
          </w:p>
        </w:tc>
        <w:tc>
          <w:tcPr>
            <w:tcW w:type="dxa" w:w="8208"/>
            <w:tcMar>
              <w:top w:w="65" w:type="dxa"/>
              <w:start w:w="75" w:type="dxa"/>
              <w:bottom w:w="65" w:type="dxa"/>
              <w:end w:w="75" w:type="dxa"/>
            </w:tcMar>
            <w:vAlign w:val="top"/>
          </w:tcPr>
          <w:p>
            <w:pPr>
              <w:keepLines/>
              <w:spacing w:after="0"/>
            </w:pPr>
            <w:r>
              <w:t>Resolver según semántica del fenómeno; no promediar como porcentaje salvo definición explícita.</w:t>
            </w:r>
          </w:p>
        </w:tc>
      </w:tr>
    </w:tbl>
    <w:p>
      <w:pPr>
        <w:spacing w:after="20"/>
      </w:pPr>
    </w:p>
    <w:p>
      <w:pPr>
        <w:spacing w:before="100" w:after="140"/>
        <w:ind w:left="360" w:right="288"/>
      </w:pPr>
      <w:r>
        <w:rPr>
          <w:b/>
        </w:rPr>
        <w:t>Promedio de tasas ≠ tasa agregada, salvo igualdad de exposición o regla explícita.</w:t>
      </w:r>
    </w:p>
    <w:p>
      <w:r>
        <w:t>Esta disciplina es necesaria para que CFF e IFD reutilicen exposición y cantidad sin inconsistencias.</w:t>
      </w:r>
    </w:p>
    <w:p>
      <w:pPr>
        <w:pStyle w:val="Heading1"/>
      </w:pPr>
      <w:r>
        <w:t>24. EFO_STATE canónico</w:t>
      </w:r>
    </w:p>
    <w:p>
      <w:pPr>
        <w:pStyle w:val="TechnicalBlock"/>
      </w:pPr>
      <w:r>
        <w:t>EFO_STATE</w:t>
        <w:br/>
        <w:t xml:space="preserve">  efo_state_id</w:t>
        <w:br/>
        <w:t xml:space="preserve">  organization_id</w:t>
        <w:br/>
        <w:t xml:space="preserve">  node_id</w:t>
        <w:br/>
        <w:t xml:space="preserve">  scope</w:t>
        <w:br/>
        <w:t xml:space="preserve">  period</w:t>
        <w:br/>
        <w:t xml:space="preserve">  pos: F | I | D | N_A</w:t>
        <w:br/>
        <w:t xml:space="preserve">  traj: IMPROVING | STABLE | DETERIORATING | N_A</w:t>
        <w:br/>
        <w:t xml:space="preserve">  pers: POINT | REPEATED | PERSISTENT | N_A</w:t>
        <w:br/>
        <w:t xml:space="preserve">  det_run</w:t>
        <w:br/>
        <w:t xml:space="preserve">  det_duration?</w:t>
        <w:br/>
        <w:t xml:space="preserve">  admissibility</w:t>
        <w:br/>
        <w:t xml:space="preserve">  freshness</w:t>
        <w:br/>
        <w:t xml:space="preserve">  coverage_status</w:t>
        <w:br/>
        <w:t xml:space="preserve">  required_coverage_complete</w:t>
        <w:br/>
        <w:t xml:space="preserve">  deterioration_present</w:t>
        <w:br/>
        <w:t xml:space="preserve">  domain_profile[]</w:t>
        <w:br/>
        <w:t xml:space="preserve">  node_profile[]</w:t>
        <w:br/>
        <w:t xml:space="preserve">  temporal_pattern?</w:t>
        <w:br/>
        <w:t xml:space="preserve">  series_stability?</w:t>
        <w:br/>
        <w:t xml:space="preserve">  regime_status</w:t>
        <w:br/>
        <w:t xml:space="preserve">  flags[]</w:t>
        <w:br/>
        <w:t xml:space="preserve">  piio_run_id</w:t>
        <w:br/>
        <w:t xml:space="preserve">  ruleset_version</w:t>
      </w:r>
    </w:p>
    <w:p>
      <w:pPr>
        <w:pStyle w:val="Heading1"/>
      </w:pPr>
      <w:r>
        <w:t>25. Contratos de configuración</w:t>
      </w:r>
    </w:p>
    <w:p>
      <w:pPr>
        <w:pStyle w:val="Heading2"/>
      </w:pPr>
      <w:r>
        <w:t>25.1 PHENOMENON_SPEC</w:t>
      </w:r>
    </w:p>
    <w:p>
      <w:pPr>
        <w:pStyle w:val="TechnicalBlock"/>
      </w:pPr>
      <w:r>
        <w:t>PHENOMENON_SPEC</w:t>
        <w:br/>
        <w:t xml:space="preserve">  phenomenon_id</w:t>
        <w:br/>
        <w:t xml:space="preserve">  name</w:t>
        <w:br/>
        <w:t xml:space="preserve">  operational_definition</w:t>
        <w:br/>
        <w:t xml:space="preserve">  canonical_domain_id</w:t>
        <w:br/>
        <w:t xml:space="preserve">  recurrence_type</w:t>
        <w:br/>
        <w:t xml:space="preserve">  directionality</w:t>
        <w:br/>
        <w:t xml:space="preserve">  exposure_definition?</w:t>
        <w:br/>
        <w:t xml:space="preserve">  unit_of_effect?</w:t>
        <w:br/>
        <w:t xml:space="preserve">  required_evidence_group_ids[]</w:t>
        <w:br/>
        <w:t xml:space="preserve">  optional_evidence_group_ids[]</w:t>
        <w:br/>
        <w:t xml:space="preserve">  proxy_allowed_as_primary</w:t>
        <w:br/>
        <w:t xml:space="preserve">  core_or_supporting_by_domain</w:t>
        <w:br/>
        <w:t xml:space="preserve">  applicable_node_types[]</w:t>
        <w:br/>
        <w:t xml:space="preserve">  version</w:t>
        <w:br/>
        <w:t xml:space="preserve">  valid_from</w:t>
        <w:br/>
        <w:t xml:space="preserve">  valid_to?</w:t>
      </w:r>
    </w:p>
    <w:p>
      <w:pPr>
        <w:pStyle w:val="Heading2"/>
      </w:pPr>
      <w:r>
        <w:t>25.2 DOMAIN_SPEC</w:t>
      </w:r>
    </w:p>
    <w:p>
      <w:pPr>
        <w:pStyle w:val="TechnicalBlock"/>
      </w:pPr>
      <w:r>
        <w:t>DOMAIN_SPEC</w:t>
        <w:br/>
        <w:t xml:space="preserve">  domain_id</w:t>
        <w:br/>
        <w:t xml:space="preserve">  definition</w:t>
        <w:br/>
        <w:t xml:space="preserve">  applicability_by_context</w:t>
        <w:br/>
        <w:t xml:space="preserve">  core_phenomenon_ids[]</w:t>
        <w:br/>
        <w:t xml:space="preserve">  supporting_phenomenon_ids[]</w:t>
        <w:br/>
        <w:t xml:space="preserve">  version</w:t>
      </w:r>
    </w:p>
    <w:p>
      <w:pPr>
        <w:pStyle w:val="Heading2"/>
      </w:pPr>
      <w:r>
        <w:t>25.3 REFERENCE_SPEC</w:t>
      </w:r>
    </w:p>
    <w:p>
      <w:pPr>
        <w:pStyle w:val="TechnicalBlock"/>
      </w:pPr>
      <w:r>
        <w:t>REFERENCE_SPEC</w:t>
        <w:br/>
        <w:t xml:space="preserve">  reference_id</w:t>
        <w:br/>
        <w:t xml:space="preserve">  reference_role: CONDITION | TEMPORAL</w:t>
        <w:br/>
        <w:t xml:space="preserve">  reference_type</w:t>
        <w:br/>
        <w:t xml:space="preserve">  source</w:t>
        <w:br/>
        <w:t xml:space="preserve">  valid_from</w:t>
        <w:br/>
        <w:t xml:space="preserve">  valid_to?</w:t>
        <w:br/>
        <w:t xml:space="preserve">  rule</w:t>
        <w:br/>
        <w:t xml:space="preserve">  comparability_assessment</w:t>
        <w:br/>
        <w:t xml:space="preserve">  traceability</w:t>
        <w:br/>
        <w:t xml:space="preserve">  version</w:t>
      </w:r>
    </w:p>
    <w:p>
      <w:pPr>
        <w:pStyle w:val="Heading2"/>
      </w:pPr>
      <w:r>
        <w:t>25.4 NODE_SPEC</w:t>
      </w:r>
    </w:p>
    <w:p>
      <w:pPr>
        <w:pStyle w:val="TechnicalBlock"/>
      </w:pPr>
      <w:r>
        <w:t>NODE_SPEC</w:t>
        <w:br/>
        <w:t xml:space="preserve">  node_id</w:t>
        <w:br/>
        <w:t xml:space="preserve">  parent_node_id?</w:t>
        <w:br/>
        <w:t xml:space="preserve">  node_type</w:t>
        <w:br/>
        <w:t xml:space="preserve">  active_from</w:t>
        <w:br/>
        <w:t xml:space="preserve">  active_to?</w:t>
        <w:br/>
        <w:t xml:space="preserve">  aggregation_membership</w:t>
        <w:br/>
        <w:t xml:space="preserve">  scope_rules</w:t>
        <w:br/>
        <w:t xml:space="preserve">  version</w:t>
      </w:r>
    </w:p>
    <w:p>
      <w:pPr>
        <w:pStyle w:val="Heading1"/>
      </w:pPr>
      <w:r>
        <w:t>26. Interoperabilidad con CFF e IFD</w:t>
      </w:r>
    </w:p>
    <w:p>
      <w:r>
        <w:t>PIIO es la fuente canónica de identidad operacional. Cuando CFF o IFD consumen un fenómeno PIIO, deben reutilizar IDs y definiciones, no recrearlos.</w:t>
      </w:r>
    </w:p>
    <w:p>
      <w:pPr>
        <w:pStyle w:val="TechnicalBlock"/>
      </w:pPr>
      <w:r>
        <w:t>PIIO_OPERATIONAL_EXPORT</w:t>
        <w:br/>
        <w:t xml:space="preserve">  organization_id</w:t>
        <w:br/>
        <w:t xml:space="preserve">  phenomenon_id</w:t>
        <w:br/>
        <w:t xml:space="preserve">  phenomenon_version</w:t>
        <w:br/>
        <w:t xml:space="preserve">  domain_id</w:t>
        <w:br/>
        <w:t xml:space="preserve">  node_id</w:t>
        <w:br/>
        <w:t xml:space="preserve">  period</w:t>
        <w:br/>
        <w:t xml:space="preserve">  metric_definition_id</w:t>
        <w:br/>
        <w:t xml:space="preserve">  metric_definition_version</w:t>
        <w:br/>
        <w:t xml:space="preserve">  recurrence_type</w:t>
        <w:br/>
        <w:t xml:space="preserve">  directionality</w:t>
        <w:br/>
        <w:t xml:space="preserve">  numerator?</w:t>
        <w:br/>
        <w:t xml:space="preserve">  denominator?</w:t>
        <w:br/>
        <w:t xml:space="preserve">  exposure?</w:t>
        <w:br/>
        <w:t xml:space="preserve">  observed_quantity?</w:t>
        <w:br/>
        <w:t xml:space="preserve">  unit</w:t>
        <w:br/>
        <w:t xml:space="preserve">  position?</w:t>
        <w:br/>
        <w:t xml:space="preserve">  trajectory?</w:t>
        <w:br/>
        <w:t xml:space="preserve">  admissibility</w:t>
        <w:br/>
        <w:t xml:space="preserve">  freshness</w:t>
        <w:br/>
        <w:t xml:space="preserve">  source_refs[]</w:t>
        <w:br/>
        <w:t xml:space="preserve">  piio_run_id</w:t>
      </w:r>
    </w:p>
    <w:p>
      <w:r>
        <w:t>CFF puede usar los datos para delimitar eventos económicos, pero la monetización y atribución son propias de CFF. IFD puede usar historia, exposición, recurrencia y definición métrica, pero la selección de modelos y proyección pertenecen a IFD.</w:t>
      </w:r>
    </w:p>
    <w:p>
      <w:pPr>
        <w:jc w:val="center"/>
      </w:pPr>
      <w:r>
        <w:rPr>
          <w:b/>
        </w:rPr>
        <w:t>PIIO ELIGIBLE ≠ CFF MONETIZABLE ≠ IFD FORECASTABLE</w:t>
      </w:r>
    </w:p>
    <w:p>
      <w:pPr>
        <w:pStyle w:val="Heading1"/>
      </w:pPr>
      <w:r>
        <w:t>27. Estados canónicos v1.1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3240"/>
            <w:shd w:fill="D9E2F3"/>
            <w:tcMar>
              <w:top w:w="65" w:type="dxa"/>
              <w:start w:w="75" w:type="dxa"/>
              <w:bottom w:w="65" w:type="dxa"/>
              <w:end w:w="75" w:type="dxa"/>
            </w:tcMar>
          </w:tcPr>
          <w:p>
            <w:pPr>
              <w:spacing w:after="0"/>
            </w:pPr>
            <w:r>
              <w:rPr>
                <w:b/>
              </w:rPr>
              <w:t>Enum</w:t>
            </w:r>
          </w:p>
        </w:tc>
        <w:tc>
          <w:tcPr>
            <w:tcW w:type="dxa" w:w="6840"/>
            <w:shd w:fill="D9E2F3"/>
            <w:tcMar>
              <w:top w:w="65" w:type="dxa"/>
              <w:start w:w="75" w:type="dxa"/>
              <w:bottom w:w="65" w:type="dxa"/>
              <w:end w:w="75" w:type="dxa"/>
            </w:tcMar>
          </w:tcPr>
          <w:p>
            <w:pPr>
              <w:spacing w:after="0"/>
            </w:pPr>
            <w:r>
              <w:rPr>
                <w:b/>
              </w:rPr>
              <w:t>Valores</w:t>
            </w:r>
          </w:p>
        </w:tc>
      </w:tr>
      <w:tr>
        <w:trPr>
          <w:trHeight w:hRule="atLeast"/>
        </w:trPr>
        <w:tc>
          <w:tcPr>
            <w:tcW w:type="dxa" w:w="3240"/>
            <w:tcMar>
              <w:top w:w="65" w:type="dxa"/>
              <w:start w:w="75" w:type="dxa"/>
              <w:bottom w:w="65" w:type="dxa"/>
              <w:end w:w="75" w:type="dxa"/>
            </w:tcMar>
            <w:vAlign w:val="top"/>
          </w:tcPr>
          <w:p>
            <w:pPr>
              <w:keepLines/>
              <w:spacing w:after="0"/>
            </w:pPr>
            <w:r>
              <w:t>POSITION</w:t>
            </w:r>
          </w:p>
        </w:tc>
        <w:tc>
          <w:tcPr>
            <w:tcW w:type="dxa" w:w="6840"/>
            <w:tcMar>
              <w:top w:w="65" w:type="dxa"/>
              <w:start w:w="75" w:type="dxa"/>
              <w:bottom w:w="65" w:type="dxa"/>
              <w:end w:w="75" w:type="dxa"/>
            </w:tcMar>
            <w:vAlign w:val="top"/>
          </w:tcPr>
          <w:p>
            <w:pPr>
              <w:keepLines/>
              <w:spacing w:after="0"/>
            </w:pPr>
            <w:r>
              <w:t>F | I | D | N_A</w:t>
            </w:r>
          </w:p>
        </w:tc>
      </w:tr>
      <w:tr>
        <w:trPr>
          <w:trHeight w:hRule="atLeast"/>
        </w:trPr>
        <w:tc>
          <w:tcPr>
            <w:tcW w:type="dxa" w:w="3240"/>
            <w:tcMar>
              <w:top w:w="65" w:type="dxa"/>
              <w:start w:w="75" w:type="dxa"/>
              <w:bottom w:w="65" w:type="dxa"/>
              <w:end w:w="75" w:type="dxa"/>
            </w:tcMar>
            <w:vAlign w:val="top"/>
          </w:tcPr>
          <w:p>
            <w:pPr>
              <w:keepLines/>
              <w:spacing w:after="0"/>
            </w:pPr>
            <w:r>
              <w:t>TRAJECTORY</w:t>
            </w:r>
          </w:p>
        </w:tc>
        <w:tc>
          <w:tcPr>
            <w:tcW w:type="dxa" w:w="6840"/>
            <w:tcMar>
              <w:top w:w="65" w:type="dxa"/>
              <w:start w:w="75" w:type="dxa"/>
              <w:bottom w:w="65" w:type="dxa"/>
              <w:end w:w="75" w:type="dxa"/>
            </w:tcMar>
            <w:vAlign w:val="top"/>
          </w:tcPr>
          <w:p>
            <w:pPr>
              <w:keepLines/>
              <w:spacing w:after="0"/>
            </w:pPr>
            <w:r>
              <w:t>IMPROVING | STABLE | DETERIORATING | N_A</w:t>
            </w:r>
          </w:p>
        </w:tc>
      </w:tr>
      <w:tr>
        <w:trPr>
          <w:trHeight w:hRule="atLeast"/>
        </w:trPr>
        <w:tc>
          <w:tcPr>
            <w:tcW w:type="dxa" w:w="3240"/>
            <w:tcMar>
              <w:top w:w="65" w:type="dxa"/>
              <w:start w:w="75" w:type="dxa"/>
              <w:bottom w:w="65" w:type="dxa"/>
              <w:end w:w="75" w:type="dxa"/>
            </w:tcMar>
            <w:vAlign w:val="top"/>
          </w:tcPr>
          <w:p>
            <w:pPr>
              <w:keepLines/>
              <w:spacing w:after="0"/>
            </w:pPr>
            <w:r>
              <w:t>PERSISTENCE</w:t>
            </w:r>
          </w:p>
        </w:tc>
        <w:tc>
          <w:tcPr>
            <w:tcW w:type="dxa" w:w="6840"/>
            <w:tcMar>
              <w:top w:w="65" w:type="dxa"/>
              <w:start w:w="75" w:type="dxa"/>
              <w:bottom w:w="65" w:type="dxa"/>
              <w:end w:w="75" w:type="dxa"/>
            </w:tcMar>
            <w:vAlign w:val="top"/>
          </w:tcPr>
          <w:p>
            <w:pPr>
              <w:keepLines/>
              <w:spacing w:after="0"/>
            </w:pPr>
            <w:r>
              <w:t>POINT | REPEATED | PERSISTENT | N_A</w:t>
            </w:r>
          </w:p>
        </w:tc>
      </w:tr>
      <w:tr>
        <w:trPr>
          <w:trHeight w:hRule="atLeast"/>
        </w:trPr>
        <w:tc>
          <w:tcPr>
            <w:tcW w:type="dxa" w:w="3240"/>
            <w:tcMar>
              <w:top w:w="65" w:type="dxa"/>
              <w:start w:w="75" w:type="dxa"/>
              <w:bottom w:w="65" w:type="dxa"/>
              <w:end w:w="75" w:type="dxa"/>
            </w:tcMar>
            <w:vAlign w:val="top"/>
          </w:tcPr>
          <w:p>
            <w:pPr>
              <w:keepLines/>
              <w:spacing w:after="0"/>
            </w:pPr>
            <w:r>
              <w:t>OUTPUT_STATUS</w:t>
            </w:r>
          </w:p>
        </w:tc>
        <w:tc>
          <w:tcPr>
            <w:tcW w:type="dxa" w:w="6840"/>
            <w:tcMar>
              <w:top w:w="65" w:type="dxa"/>
              <w:start w:w="75" w:type="dxa"/>
              <w:bottom w:w="65" w:type="dxa"/>
              <w:end w:w="75" w:type="dxa"/>
            </w:tcMar>
            <w:vAlign w:val="top"/>
          </w:tcPr>
          <w:p>
            <w:pPr>
              <w:keepLines/>
              <w:spacing w:after="0"/>
            </w:pPr>
            <w:r>
              <w:t>VALID | VALID_WITH_LIMITATIONS | INSUFFICIENT | INVALID | NOT_APPLICABLE</w:t>
            </w:r>
          </w:p>
        </w:tc>
      </w:tr>
      <w:tr>
        <w:trPr>
          <w:trHeight w:hRule="atLeast"/>
        </w:trPr>
        <w:tc>
          <w:tcPr>
            <w:tcW w:type="dxa" w:w="3240"/>
            <w:tcMar>
              <w:top w:w="65" w:type="dxa"/>
              <w:start w:w="75" w:type="dxa"/>
              <w:bottom w:w="65" w:type="dxa"/>
              <w:end w:w="75" w:type="dxa"/>
            </w:tcMar>
            <w:vAlign w:val="top"/>
          </w:tcPr>
          <w:p>
            <w:pPr>
              <w:keepLines/>
              <w:spacing w:after="0"/>
            </w:pPr>
            <w:r>
              <w:t>EVIDENCE_ADMISSIBILITY</w:t>
            </w:r>
          </w:p>
        </w:tc>
        <w:tc>
          <w:tcPr>
            <w:tcW w:type="dxa" w:w="6840"/>
            <w:tcMar>
              <w:top w:w="65" w:type="dxa"/>
              <w:start w:w="75" w:type="dxa"/>
              <w:bottom w:w="65" w:type="dxa"/>
              <w:end w:w="75" w:type="dxa"/>
            </w:tcMar>
            <w:vAlign w:val="top"/>
          </w:tcPr>
          <w:p>
            <w:pPr>
              <w:keepLines/>
              <w:spacing w:after="0"/>
            </w:pPr>
            <w:r>
              <w:t>ADMISSIBLE | ADMISSIBLE_WITH_LIMITATIONS | NOT_ADMISSIBLE</w:t>
            </w:r>
          </w:p>
        </w:tc>
      </w:tr>
      <w:tr>
        <w:trPr>
          <w:trHeight w:hRule="atLeast"/>
        </w:trPr>
        <w:tc>
          <w:tcPr>
            <w:tcW w:type="dxa" w:w="3240"/>
            <w:tcMar>
              <w:top w:w="65" w:type="dxa"/>
              <w:start w:w="75" w:type="dxa"/>
              <w:bottom w:w="65" w:type="dxa"/>
              <w:end w:w="75" w:type="dxa"/>
            </w:tcMar>
            <w:vAlign w:val="top"/>
          </w:tcPr>
          <w:p>
            <w:pPr>
              <w:keepLines/>
              <w:spacing w:after="0"/>
            </w:pPr>
            <w:r>
              <w:t>DATA_QUALITY_STATUS</w:t>
            </w:r>
          </w:p>
        </w:tc>
        <w:tc>
          <w:tcPr>
            <w:tcW w:type="dxa" w:w="6840"/>
            <w:tcMar>
              <w:top w:w="65" w:type="dxa"/>
              <w:start w:w="75" w:type="dxa"/>
              <w:bottom w:w="65" w:type="dxa"/>
              <w:end w:w="75" w:type="dxa"/>
            </w:tcMar>
            <w:vAlign w:val="top"/>
          </w:tcPr>
          <w:p>
            <w:pPr>
              <w:keepLines/>
              <w:spacing w:after="0"/>
            </w:pPr>
            <w:r>
              <w:t>VALID | VALID_WITH_LIMITATIONS | MISSING | INVALID</w:t>
            </w:r>
          </w:p>
        </w:tc>
      </w:tr>
      <w:tr>
        <w:trPr>
          <w:trHeight w:hRule="atLeast"/>
        </w:trPr>
        <w:tc>
          <w:tcPr>
            <w:tcW w:type="dxa" w:w="3240"/>
            <w:tcMar>
              <w:top w:w="65" w:type="dxa"/>
              <w:start w:w="75" w:type="dxa"/>
              <w:bottom w:w="65" w:type="dxa"/>
              <w:end w:w="75" w:type="dxa"/>
            </w:tcMar>
            <w:vAlign w:val="top"/>
          </w:tcPr>
          <w:p>
            <w:pPr>
              <w:keepLines/>
              <w:spacing w:after="0"/>
            </w:pPr>
            <w:r>
              <w:t>FRESHNESS_STATUS</w:t>
            </w:r>
          </w:p>
        </w:tc>
        <w:tc>
          <w:tcPr>
            <w:tcW w:type="dxa" w:w="6840"/>
            <w:tcMar>
              <w:top w:w="65" w:type="dxa"/>
              <w:start w:w="75" w:type="dxa"/>
              <w:bottom w:w="65" w:type="dxa"/>
              <w:end w:w="75" w:type="dxa"/>
            </w:tcMar>
            <w:vAlign w:val="top"/>
          </w:tcPr>
          <w:p>
            <w:pPr>
              <w:keepLines/>
              <w:spacing w:after="0"/>
            </w:pPr>
            <w:r>
              <w:t>CURRENT | AGING | STALE | N_A</w:t>
            </w:r>
          </w:p>
        </w:tc>
      </w:tr>
      <w:tr>
        <w:trPr>
          <w:trHeight w:hRule="atLeast"/>
        </w:trPr>
        <w:tc>
          <w:tcPr>
            <w:tcW w:type="dxa" w:w="3240"/>
            <w:tcMar>
              <w:top w:w="65" w:type="dxa"/>
              <w:start w:w="75" w:type="dxa"/>
              <w:bottom w:w="65" w:type="dxa"/>
              <w:end w:w="75" w:type="dxa"/>
            </w:tcMar>
            <w:vAlign w:val="top"/>
          </w:tcPr>
          <w:p>
            <w:pPr>
              <w:keepLines/>
              <w:spacing w:after="0"/>
            </w:pPr>
            <w:r>
              <w:t>COVERAGE_STATUS_PHENOMENON</w:t>
            </w:r>
          </w:p>
        </w:tc>
        <w:tc>
          <w:tcPr>
            <w:tcW w:type="dxa" w:w="6840"/>
            <w:tcMar>
              <w:top w:w="65" w:type="dxa"/>
              <w:start w:w="75" w:type="dxa"/>
              <w:bottom w:w="65" w:type="dxa"/>
              <w:end w:w="75" w:type="dxa"/>
            </w:tcMar>
            <w:vAlign w:val="top"/>
          </w:tcPr>
          <w:p>
            <w:pPr>
              <w:keepLines/>
              <w:spacing w:after="0"/>
            </w:pPr>
            <w:r>
              <w:t>COMPLETE | PARTIAL | NONE</w:t>
            </w:r>
          </w:p>
        </w:tc>
      </w:tr>
      <w:tr>
        <w:trPr>
          <w:trHeight w:hRule="atLeast"/>
        </w:trPr>
        <w:tc>
          <w:tcPr>
            <w:tcW w:type="dxa" w:w="3240"/>
            <w:tcMar>
              <w:top w:w="65" w:type="dxa"/>
              <w:start w:w="75" w:type="dxa"/>
              <w:bottom w:w="65" w:type="dxa"/>
              <w:end w:w="75" w:type="dxa"/>
            </w:tcMar>
            <w:vAlign w:val="top"/>
          </w:tcPr>
          <w:p>
            <w:pPr>
              <w:keepLines/>
              <w:spacing w:after="0"/>
            </w:pPr>
            <w:r>
              <w:t>COVERAGE_STATUS_EFO</w:t>
            </w:r>
          </w:p>
        </w:tc>
        <w:tc>
          <w:tcPr>
            <w:tcW w:type="dxa" w:w="6840"/>
            <w:tcMar>
              <w:top w:w="65" w:type="dxa"/>
              <w:start w:w="75" w:type="dxa"/>
              <w:bottom w:w="65" w:type="dxa"/>
              <w:end w:w="75" w:type="dxa"/>
            </w:tcMar>
            <w:vAlign w:val="top"/>
          </w:tcPr>
          <w:p>
            <w:pPr>
              <w:keepLines/>
              <w:spacing w:after="0"/>
            </w:pPr>
            <w:r>
              <w:t>FULL | PARTIAL | LIMITED | INSUFFICIENT</w:t>
            </w:r>
          </w:p>
        </w:tc>
      </w:tr>
      <w:tr>
        <w:trPr>
          <w:trHeight w:hRule="atLeast"/>
        </w:trPr>
        <w:tc>
          <w:tcPr>
            <w:tcW w:type="dxa" w:w="3240"/>
            <w:tcMar>
              <w:top w:w="65" w:type="dxa"/>
              <w:start w:w="75" w:type="dxa"/>
              <w:bottom w:w="65" w:type="dxa"/>
              <w:end w:w="75" w:type="dxa"/>
            </w:tcMar>
            <w:vAlign w:val="top"/>
          </w:tcPr>
          <w:p>
            <w:pPr>
              <w:keepLines/>
              <w:spacing w:after="0"/>
            </w:pPr>
            <w:r>
              <w:t>APPLICABILITY</w:t>
            </w:r>
          </w:p>
        </w:tc>
        <w:tc>
          <w:tcPr>
            <w:tcW w:type="dxa" w:w="6840"/>
            <w:tcMar>
              <w:top w:w="65" w:type="dxa"/>
              <w:start w:w="75" w:type="dxa"/>
              <w:bottom w:w="65" w:type="dxa"/>
              <w:end w:w="75" w:type="dxa"/>
            </w:tcMar>
            <w:vAlign w:val="top"/>
          </w:tcPr>
          <w:p>
            <w:pPr>
              <w:keepLines/>
              <w:spacing w:after="0"/>
            </w:pPr>
            <w:r>
              <w:t>REQUIRED | OPTIONAL | NOT_APPLICABLE</w:t>
            </w:r>
          </w:p>
        </w:tc>
      </w:tr>
      <w:tr>
        <w:trPr>
          <w:trHeight w:hRule="atLeast"/>
        </w:trPr>
        <w:tc>
          <w:tcPr>
            <w:tcW w:type="dxa" w:w="3240"/>
            <w:tcMar>
              <w:top w:w="65" w:type="dxa"/>
              <w:start w:w="75" w:type="dxa"/>
              <w:bottom w:w="65" w:type="dxa"/>
              <w:end w:w="75" w:type="dxa"/>
            </w:tcMar>
            <w:vAlign w:val="top"/>
          </w:tcPr>
          <w:p>
            <w:pPr>
              <w:keepLines/>
              <w:spacing w:after="0"/>
            </w:pPr>
            <w:r>
              <w:t>EVIDENCE_PROXIMITY</w:t>
            </w:r>
          </w:p>
        </w:tc>
        <w:tc>
          <w:tcPr>
            <w:tcW w:type="dxa" w:w="6840"/>
            <w:tcMar>
              <w:top w:w="65" w:type="dxa"/>
              <w:start w:w="75" w:type="dxa"/>
              <w:bottom w:w="65" w:type="dxa"/>
              <w:end w:w="75" w:type="dxa"/>
            </w:tcMar>
            <w:vAlign w:val="top"/>
          </w:tcPr>
          <w:p>
            <w:pPr>
              <w:keepLines/>
              <w:spacing w:after="0"/>
            </w:pPr>
            <w:r>
              <w:t>DIRECT | PROXY</w:t>
            </w:r>
          </w:p>
        </w:tc>
      </w:tr>
      <w:tr>
        <w:trPr>
          <w:trHeight w:hRule="atLeast"/>
        </w:trPr>
        <w:tc>
          <w:tcPr>
            <w:tcW w:type="dxa" w:w="3240"/>
            <w:tcMar>
              <w:top w:w="65" w:type="dxa"/>
              <w:start w:w="75" w:type="dxa"/>
              <w:bottom w:w="65" w:type="dxa"/>
              <w:end w:w="75" w:type="dxa"/>
            </w:tcMar>
            <w:vAlign w:val="top"/>
          </w:tcPr>
          <w:p>
            <w:pPr>
              <w:keepLines/>
              <w:spacing w:after="0"/>
            </w:pPr>
            <w:r>
              <w:t>COMPUTATION</w:t>
            </w:r>
          </w:p>
        </w:tc>
        <w:tc>
          <w:tcPr>
            <w:tcW w:type="dxa" w:w="6840"/>
            <w:tcMar>
              <w:top w:w="65" w:type="dxa"/>
              <w:start w:w="75" w:type="dxa"/>
              <w:bottom w:w="65" w:type="dxa"/>
              <w:end w:w="75" w:type="dxa"/>
            </w:tcMar>
            <w:vAlign w:val="top"/>
          </w:tcPr>
          <w:p>
            <w:pPr>
              <w:keepLines/>
              <w:spacing w:after="0"/>
            </w:pPr>
            <w:r>
              <w:t>RAW | DERIVED</w:t>
            </w:r>
          </w:p>
        </w:tc>
      </w:tr>
      <w:tr>
        <w:trPr>
          <w:trHeight w:hRule="atLeast"/>
        </w:trPr>
        <w:tc>
          <w:tcPr>
            <w:tcW w:type="dxa" w:w="3240"/>
            <w:tcMar>
              <w:top w:w="65" w:type="dxa"/>
              <w:start w:w="75" w:type="dxa"/>
              <w:bottom w:w="65" w:type="dxa"/>
              <w:end w:w="75" w:type="dxa"/>
            </w:tcMar>
            <w:vAlign w:val="top"/>
          </w:tcPr>
          <w:p>
            <w:pPr>
              <w:keepLines/>
              <w:spacing w:after="0"/>
            </w:pPr>
            <w:r>
              <w:t>TEMPORAL_ROLE</w:t>
            </w:r>
          </w:p>
        </w:tc>
        <w:tc>
          <w:tcPr>
            <w:tcW w:type="dxa" w:w="6840"/>
            <w:tcMar>
              <w:top w:w="65" w:type="dxa"/>
              <w:start w:w="75" w:type="dxa"/>
              <w:bottom w:w="65" w:type="dxa"/>
              <w:end w:w="75" w:type="dxa"/>
            </w:tcMar>
            <w:vAlign w:val="top"/>
          </w:tcPr>
          <w:p>
            <w:pPr>
              <w:keepLines/>
              <w:spacing w:after="0"/>
            </w:pPr>
            <w:r>
              <w:t>COINCIDENT | LAGGED</w:t>
            </w:r>
          </w:p>
        </w:tc>
      </w:tr>
      <w:tr>
        <w:trPr>
          <w:trHeight w:hRule="atLeast"/>
        </w:trPr>
        <w:tc>
          <w:tcPr>
            <w:tcW w:type="dxa" w:w="3240"/>
            <w:tcMar>
              <w:top w:w="65" w:type="dxa"/>
              <w:start w:w="75" w:type="dxa"/>
              <w:bottom w:w="65" w:type="dxa"/>
              <w:end w:w="75" w:type="dxa"/>
            </w:tcMar>
            <w:vAlign w:val="top"/>
          </w:tcPr>
          <w:p>
            <w:pPr>
              <w:keepLines/>
              <w:spacing w:after="0"/>
            </w:pPr>
            <w:r>
              <w:t>DIRECTIONALITY</w:t>
            </w:r>
          </w:p>
        </w:tc>
        <w:tc>
          <w:tcPr>
            <w:tcW w:type="dxa" w:w="6840"/>
            <w:tcMar>
              <w:top w:w="65" w:type="dxa"/>
              <w:start w:w="75" w:type="dxa"/>
              <w:bottom w:w="65" w:type="dxa"/>
              <w:end w:w="75" w:type="dxa"/>
            </w:tcMar>
            <w:vAlign w:val="top"/>
          </w:tcPr>
          <w:p>
            <w:pPr>
              <w:keepLines/>
              <w:spacing w:after="0"/>
            </w:pPr>
            <w:r>
              <w:t>HIGHER_IS_WORSE | LOWER_IS_WORSE | TARGET_RANGE</w:t>
            </w:r>
          </w:p>
        </w:tc>
      </w:tr>
      <w:tr>
        <w:trPr>
          <w:trHeight w:hRule="atLeast"/>
        </w:trPr>
        <w:tc>
          <w:tcPr>
            <w:tcW w:type="dxa" w:w="3240"/>
            <w:tcMar>
              <w:top w:w="65" w:type="dxa"/>
              <w:start w:w="75" w:type="dxa"/>
              <w:bottom w:w="65" w:type="dxa"/>
              <w:end w:w="75" w:type="dxa"/>
            </w:tcMar>
            <w:vAlign w:val="top"/>
          </w:tcPr>
          <w:p>
            <w:pPr>
              <w:keepLines/>
              <w:spacing w:after="0"/>
            </w:pPr>
            <w:r>
              <w:t>RECURRENCE_TYPE</w:t>
            </w:r>
          </w:p>
        </w:tc>
        <w:tc>
          <w:tcPr>
            <w:tcW w:type="dxa" w:w="6840"/>
            <w:tcMar>
              <w:top w:w="65" w:type="dxa"/>
              <w:start w:w="75" w:type="dxa"/>
              <w:bottom w:w="65" w:type="dxa"/>
              <w:end w:w="75" w:type="dxa"/>
            </w:tcMar>
            <w:vAlign w:val="top"/>
          </w:tcPr>
          <w:p>
            <w:pPr>
              <w:keepLines/>
              <w:spacing w:after="0"/>
            </w:pPr>
            <w:r>
              <w:t>RATE_BASED | COUNT_BASED | CONTINUOUS | EPISODIC</w:t>
            </w:r>
          </w:p>
        </w:tc>
      </w:tr>
      <w:tr>
        <w:trPr>
          <w:trHeight w:hRule="atLeast"/>
        </w:trPr>
        <w:tc>
          <w:tcPr>
            <w:tcW w:type="dxa" w:w="3240"/>
            <w:tcMar>
              <w:top w:w="65" w:type="dxa"/>
              <w:start w:w="75" w:type="dxa"/>
              <w:bottom w:w="65" w:type="dxa"/>
              <w:end w:w="75" w:type="dxa"/>
            </w:tcMar>
            <w:vAlign w:val="top"/>
          </w:tcPr>
          <w:p>
            <w:pPr>
              <w:keepLines/>
              <w:spacing w:after="0"/>
            </w:pPr>
            <w:r>
              <w:t>TEMPORAL_PATTERN</w:t>
            </w:r>
          </w:p>
        </w:tc>
        <w:tc>
          <w:tcPr>
            <w:tcW w:type="dxa" w:w="6840"/>
            <w:tcMar>
              <w:top w:w="65" w:type="dxa"/>
              <w:start w:w="75" w:type="dxa"/>
              <w:bottom w:w="65" w:type="dxa"/>
              <w:end w:w="75" w:type="dxa"/>
            </w:tcMar>
            <w:vAlign w:val="top"/>
          </w:tcPr>
          <w:p>
            <w:pPr>
              <w:keepLines/>
              <w:spacing w:after="0"/>
            </w:pPr>
            <w:r>
              <w:t>NONE_DETECTED | TREND | SEASONAL | TREND_AND_SEASONAL | INSUFFICIENT</w:t>
            </w:r>
          </w:p>
        </w:tc>
      </w:tr>
      <w:tr>
        <w:trPr>
          <w:trHeight w:hRule="atLeast"/>
        </w:trPr>
        <w:tc>
          <w:tcPr>
            <w:tcW w:type="dxa" w:w="3240"/>
            <w:tcMar>
              <w:top w:w="65" w:type="dxa"/>
              <w:start w:w="75" w:type="dxa"/>
              <w:bottom w:w="65" w:type="dxa"/>
              <w:end w:w="75" w:type="dxa"/>
            </w:tcMar>
            <w:vAlign w:val="top"/>
          </w:tcPr>
          <w:p>
            <w:pPr>
              <w:keepLines/>
              <w:spacing w:after="0"/>
            </w:pPr>
            <w:r>
              <w:t>SERIES_STABILITY</w:t>
            </w:r>
          </w:p>
        </w:tc>
        <w:tc>
          <w:tcPr>
            <w:tcW w:type="dxa" w:w="6840"/>
            <w:tcMar>
              <w:top w:w="65" w:type="dxa"/>
              <w:start w:w="75" w:type="dxa"/>
              <w:bottom w:w="65" w:type="dxa"/>
              <w:end w:w="75" w:type="dxa"/>
            </w:tcMar>
            <w:vAlign w:val="top"/>
          </w:tcPr>
          <w:p>
            <w:pPr>
              <w:keepLines/>
              <w:spacing w:after="0"/>
            </w:pPr>
            <w:r>
              <w:t>STABLE | MODERATELY_VARIABLE | HIGHLY_VARIABLE | INSUFFICIENT</w:t>
            </w:r>
          </w:p>
        </w:tc>
      </w:tr>
      <w:tr>
        <w:trPr>
          <w:trHeight w:hRule="atLeast"/>
        </w:trPr>
        <w:tc>
          <w:tcPr>
            <w:tcW w:type="dxa" w:w="3240"/>
            <w:tcMar>
              <w:top w:w="65" w:type="dxa"/>
              <w:start w:w="75" w:type="dxa"/>
              <w:bottom w:w="65" w:type="dxa"/>
              <w:end w:w="75" w:type="dxa"/>
            </w:tcMar>
            <w:vAlign w:val="top"/>
          </w:tcPr>
          <w:p>
            <w:pPr>
              <w:keepLines/>
              <w:spacing w:after="0"/>
            </w:pPr>
            <w:r>
              <w:t>REGIME_STATUS</w:t>
            </w:r>
          </w:p>
        </w:tc>
        <w:tc>
          <w:tcPr>
            <w:tcW w:type="dxa" w:w="6840"/>
            <w:tcMar>
              <w:top w:w="65" w:type="dxa"/>
              <w:start w:w="75" w:type="dxa"/>
              <w:bottom w:w="65" w:type="dxa"/>
              <w:end w:w="75" w:type="dxa"/>
            </w:tcMar>
            <w:vAlign w:val="top"/>
          </w:tcPr>
          <w:p>
            <w:pPr>
              <w:keepLines/>
              <w:spacing w:after="0"/>
            </w:pPr>
            <w:r>
              <w:t>CONTINUOUS | NEW_REGIME</w:t>
            </w:r>
          </w:p>
        </w:tc>
      </w:tr>
      <w:tr>
        <w:trPr>
          <w:trHeight w:hRule="atLeast"/>
        </w:trPr>
        <w:tc>
          <w:tcPr>
            <w:tcW w:type="dxa" w:w="3240"/>
            <w:tcMar>
              <w:top w:w="65" w:type="dxa"/>
              <w:start w:w="75" w:type="dxa"/>
              <w:bottom w:w="65" w:type="dxa"/>
              <w:end w:w="75" w:type="dxa"/>
            </w:tcMar>
            <w:vAlign w:val="top"/>
          </w:tcPr>
          <w:p>
            <w:pPr>
              <w:keepLines/>
              <w:spacing w:after="0"/>
            </w:pPr>
            <w:r>
              <w:t>SHOCK_STATUS</w:t>
            </w:r>
          </w:p>
        </w:tc>
        <w:tc>
          <w:tcPr>
            <w:tcW w:type="dxa" w:w="6840"/>
            <w:tcMar>
              <w:top w:w="65" w:type="dxa"/>
              <w:start w:w="75" w:type="dxa"/>
              <w:bottom w:w="65" w:type="dxa"/>
              <w:end w:w="75" w:type="dxa"/>
            </w:tcMar>
            <w:vAlign w:val="top"/>
          </w:tcPr>
          <w:p>
            <w:pPr>
              <w:keepLines/>
              <w:spacing w:after="0"/>
            </w:pPr>
            <w:r>
              <w:t>NONE | SUSPECTED | CONFIRMED_EXTERNAL | CONFIRMED_INTERNAL</w:t>
            </w:r>
          </w:p>
        </w:tc>
      </w:tr>
      <w:tr>
        <w:trPr>
          <w:trHeight w:hRule="atLeast"/>
        </w:trPr>
        <w:tc>
          <w:tcPr>
            <w:tcW w:type="dxa" w:w="3240"/>
            <w:tcMar>
              <w:top w:w="65" w:type="dxa"/>
              <w:start w:w="75" w:type="dxa"/>
              <w:bottom w:w="65" w:type="dxa"/>
              <w:end w:w="75" w:type="dxa"/>
            </w:tcMar>
            <w:vAlign w:val="top"/>
          </w:tcPr>
          <w:p>
            <w:pPr>
              <w:keepLines/>
              <w:spacing w:after="0"/>
            </w:pPr>
            <w:r>
              <w:t>REFERENCE_CHANGE_MODE</w:t>
            </w:r>
          </w:p>
        </w:tc>
        <w:tc>
          <w:tcPr>
            <w:tcW w:type="dxa" w:w="6840"/>
            <w:tcMar>
              <w:top w:w="65" w:type="dxa"/>
              <w:start w:w="75" w:type="dxa"/>
              <w:bottom w:w="65" w:type="dxa"/>
              <w:end w:w="75" w:type="dxa"/>
            </w:tcMar>
            <w:vAlign w:val="top"/>
          </w:tcPr>
          <w:p>
            <w:pPr>
              <w:keepLines/>
              <w:spacing w:after="0"/>
            </w:pPr>
            <w:r>
              <w:t>REBASE_HISTORY | START_NEW_REGIME</w:t>
            </w:r>
          </w:p>
        </w:tc>
      </w:tr>
      <w:tr>
        <w:trPr>
          <w:trHeight w:hRule="atLeast"/>
        </w:trPr>
        <w:tc>
          <w:tcPr>
            <w:tcW w:type="dxa" w:w="3240"/>
            <w:tcMar>
              <w:top w:w="65" w:type="dxa"/>
              <w:start w:w="75" w:type="dxa"/>
              <w:bottom w:w="65" w:type="dxa"/>
              <w:end w:w="75" w:type="dxa"/>
            </w:tcMar>
            <w:vAlign w:val="top"/>
          </w:tcPr>
          <w:p>
            <w:pPr>
              <w:keepLines/>
              <w:spacing w:after="0"/>
            </w:pPr>
            <w:r>
              <w:t>DEFINITION_CONTINUITY</w:t>
            </w:r>
          </w:p>
        </w:tc>
        <w:tc>
          <w:tcPr>
            <w:tcW w:type="dxa" w:w="6840"/>
            <w:tcMar>
              <w:top w:w="65" w:type="dxa"/>
              <w:start w:w="75" w:type="dxa"/>
              <w:bottom w:w="65" w:type="dxa"/>
              <w:end w:w="75" w:type="dxa"/>
            </w:tcMar>
            <w:vAlign w:val="top"/>
          </w:tcPr>
          <w:p>
            <w:pPr>
              <w:keepLines/>
              <w:spacing w:after="0"/>
            </w:pPr>
            <w:r>
              <w:t>CONTINUOUS | BRIDGED | NEW_SERIES</w:t>
            </w:r>
          </w:p>
        </w:tc>
      </w:tr>
      <w:tr>
        <w:trPr>
          <w:trHeight w:hRule="atLeast"/>
        </w:trPr>
        <w:tc>
          <w:tcPr>
            <w:tcW w:type="dxa" w:w="3240"/>
            <w:tcMar>
              <w:top w:w="65" w:type="dxa"/>
              <w:start w:w="75" w:type="dxa"/>
              <w:bottom w:w="65" w:type="dxa"/>
              <w:end w:w="75" w:type="dxa"/>
            </w:tcMar>
            <w:vAlign w:val="top"/>
          </w:tcPr>
          <w:p>
            <w:pPr>
              <w:keepLines/>
              <w:spacing w:after="0"/>
            </w:pPr>
            <w:r>
              <w:t>SCOPE</w:t>
            </w:r>
          </w:p>
        </w:tc>
        <w:tc>
          <w:tcPr>
            <w:tcW w:type="dxa" w:w="6840"/>
            <w:tcMar>
              <w:top w:w="65" w:type="dxa"/>
              <w:start w:w="75" w:type="dxa"/>
              <w:bottom w:w="65" w:type="dxa"/>
              <w:end w:w="75" w:type="dxa"/>
            </w:tcMar>
            <w:vAlign w:val="top"/>
          </w:tcPr>
          <w:p>
            <w:pPr>
              <w:keepLines/>
              <w:spacing w:after="0"/>
            </w:pPr>
            <w:r>
              <w:t>ORGANIZATIONAL | SEGMENT_ONLY</w:t>
            </w:r>
          </w:p>
        </w:tc>
      </w:tr>
      <w:tr>
        <w:trPr>
          <w:trHeight w:hRule="atLeast"/>
        </w:trPr>
        <w:tc>
          <w:tcPr>
            <w:tcW w:type="dxa" w:w="3240"/>
            <w:tcMar>
              <w:top w:w="65" w:type="dxa"/>
              <w:start w:w="75" w:type="dxa"/>
              <w:bottom w:w="65" w:type="dxa"/>
              <w:end w:w="75" w:type="dxa"/>
            </w:tcMar>
            <w:vAlign w:val="top"/>
          </w:tcPr>
          <w:p>
            <w:pPr>
              <w:keepLines/>
              <w:spacing w:after="0"/>
            </w:pPr>
            <w:r>
              <w:t>ERROR_SEVERITY</w:t>
            </w:r>
          </w:p>
        </w:tc>
        <w:tc>
          <w:tcPr>
            <w:tcW w:type="dxa" w:w="6840"/>
            <w:tcMar>
              <w:top w:w="65" w:type="dxa"/>
              <w:start w:w="75" w:type="dxa"/>
              <w:bottom w:w="65" w:type="dxa"/>
              <w:end w:w="75" w:type="dxa"/>
            </w:tcMar>
            <w:vAlign w:val="top"/>
          </w:tcPr>
          <w:p>
            <w:pPr>
              <w:keepLines/>
              <w:spacing w:after="0"/>
            </w:pPr>
            <w:r>
              <w:t>WARNING | DEGRADED | BLOCKING</w:t>
            </w:r>
          </w:p>
        </w:tc>
      </w:tr>
    </w:tbl>
    <w:p>
      <w:pPr>
        <w:spacing w:after="20"/>
      </w:pPr>
    </w:p>
    <w:p>
      <w:pPr>
        <w:pStyle w:val="Heading1"/>
      </w:pPr>
      <w:r>
        <w:t>28. Nullability y semántica de ausencia</w:t>
      </w:r>
    </w:p>
    <w:p>
      <w:r>
        <w:t>Los identificadores requeridos son no nulos. Un valor numérico 0 representa cero observado solo cuando el dato fuente lo sustenta. Un valor no disponible se representa como null acompañado de status/reason. N_A es una categoría semántica de posición/trayectoria/persistencia, no un sustituto genérico de null.</w:t>
      </w:r>
    </w:p>
    <w:p>
      <w:pPr>
        <w:pStyle w:val="ListBullet"/>
      </w:pPr>
      <w:r>
        <w:t>missing observation → value=null + DATA_QUALITY_STATUS=MISSING.</w:t>
      </w:r>
    </w:p>
    <w:p>
      <w:pPr>
        <w:pStyle w:val="ListBullet"/>
      </w:pPr>
      <w:r>
        <w:t>no valid condition reference → pos=N_A.</w:t>
      </w:r>
    </w:p>
    <w:p>
      <w:pPr>
        <w:pStyle w:val="ListBullet"/>
      </w:pPr>
      <w:r>
        <w:t>insufficient comparable history → traj=N_A.</w:t>
      </w:r>
    </w:p>
    <w:p>
      <w:pPr>
        <w:pStyle w:val="ListBullet"/>
      </w:pPr>
      <w:r>
        <w:t>current pos≠D → pers=N_A.</w:t>
      </w:r>
    </w:p>
    <w:p>
      <w:pPr>
        <w:pStyle w:val="ListBullet"/>
      </w:pPr>
      <w:r>
        <w:t>not applicable domain → applicability=NOT_APPLICABLE; no posición inventada.</w:t>
      </w:r>
    </w:p>
    <w:p>
      <w:pPr>
        <w:pStyle w:val="ListBullet"/>
      </w:pPr>
      <w:r>
        <w:t>published null → reason obligatorio.</w:t>
      </w:r>
    </w:p>
    <w:p>
      <w:pPr>
        <w:pStyle w:val="Heading1"/>
      </w:pPr>
      <w:r>
        <w:t>29. Motor de ejecución v1.1</w:t>
      </w:r>
    </w:p>
    <w:p>
      <w:pPr>
        <w:pStyle w:val="TechnicalBlock"/>
      </w:pPr>
      <w:r>
        <w:t>runPIIO(case):</w:t>
        <w:br/>
        <w:t xml:space="preserve">  validate_case_configuration()</w:t>
        <w:br/>
        <w:t xml:space="preserve">  validate_domain_and_phenomenon_catalog()</w:t>
        <w:br/>
        <w:t xml:space="preserve">  validate_node_hierarchy()</w:t>
        <w:br/>
        <w:t xml:space="preserve">  validate_metric_definitions_and_references()</w:t>
        <w:br/>
        <w:t xml:space="preserve">  ingest_observations()</w:t>
        <w:br/>
        <w:br/>
        <w:t xml:space="preserve">  for observation:</w:t>
        <w:br/>
        <w:t xml:space="preserve">    validate_data_quality()</w:t>
        <w:br/>
        <w:t xml:space="preserve">    preserve_original_value()</w:t>
        <w:br/>
        <w:t xml:space="preserve">    resolve_kpi_state()</w:t>
        <w:br/>
        <w:br/>
        <w:t xml:space="preserve">  resolve_evidence_groups()</w:t>
        <w:br/>
        <w:br/>
        <w:t xml:space="preserve">  for phenomenon,node,period:</w:t>
        <w:br/>
        <w:t xml:space="preserve">    resolve_phenomenon_state()</w:t>
        <w:br/>
        <w:t xml:space="preserve">    resolve_phenomenon_coverage_admissibility()</w:t>
        <w:br/>
        <w:t xml:space="preserve">    resolve_temporal_properties()</w:t>
        <w:br/>
        <w:br/>
        <w:t xml:space="preserve">  for domain,node,period:</w:t>
        <w:br/>
        <w:t xml:space="preserve">    resolve_domain_state()</w:t>
        <w:br/>
        <w:t xml:space="preserve">    resolve_domain_coverage_admissibility()</w:t>
        <w:br/>
        <w:t xml:space="preserve">    resolve_temporal_properties()</w:t>
        <w:br/>
        <w:br/>
        <w:t xml:space="preserve">  for node/organizational_scope:</w:t>
        <w:br/>
        <w:t xml:space="preserve">    resolve_efo_position()</w:t>
        <w:br/>
        <w:t xml:space="preserve">    resolve_efo_deterioration_present()</w:t>
        <w:br/>
        <w:t xml:space="preserve">    resolve_efo_trajectory_persistence()</w:t>
        <w:br/>
        <w:t xml:space="preserve">    resolve_efo_coverage_admissibility()</w:t>
        <w:br/>
        <w:br/>
        <w:t xml:space="preserve">  build_domain_and_node_profiles()</w:t>
        <w:br/>
        <w:t xml:space="preserve">  build_operational_export_for_CFF_IFD()</w:t>
        <w:br/>
        <w:t xml:space="preserve">  run_invariants()</w:t>
        <w:br/>
        <w:t xml:space="preserve">  build_trace_paths()</w:t>
        <w:br/>
        <w:t xml:space="preserve">  persist_immutable_run()</w:t>
        <w:br/>
        <w:t xml:space="preserve">  publish_EFO_to_AIE()</w:t>
        <w:br/>
        <w:t xml:space="preserve">  return PIIO_RESULT</w:t>
      </w:r>
    </w:p>
    <w:p>
      <w:pPr>
        <w:pStyle w:val="Heading1"/>
      </w:pPr>
      <w:r>
        <w:t>30. Fallos y propagación</w:t>
      </w:r>
    </w:p>
    <w:p>
      <w:r>
        <w:t>Un error local de un KPI no debe invalidar evidencia independiente. Un error estructural de catálogo, jerarquía de nodos o ruleset puede bloquear la corrida.</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016"/>
            <w:shd w:fill="D9E2F3"/>
            <w:tcMar>
              <w:top w:w="65" w:type="dxa"/>
              <w:start w:w="75" w:type="dxa"/>
              <w:bottom w:w="65" w:type="dxa"/>
              <w:end w:w="75" w:type="dxa"/>
            </w:tcMar>
          </w:tcPr>
          <w:p>
            <w:pPr>
              <w:spacing w:after="0"/>
            </w:pPr>
            <w:r>
              <w:rPr>
                <w:b/>
              </w:rPr>
              <w:t>Severidad</w:t>
            </w:r>
          </w:p>
        </w:tc>
        <w:tc>
          <w:tcPr>
            <w:tcW w:type="dxa" w:w="8064"/>
            <w:shd w:fill="D9E2F3"/>
            <w:tcMar>
              <w:top w:w="65" w:type="dxa"/>
              <w:start w:w="75" w:type="dxa"/>
              <w:bottom w:w="65" w:type="dxa"/>
              <w:end w:w="75" w:type="dxa"/>
            </w:tcMar>
          </w:tcPr>
          <w:p>
            <w:pPr>
              <w:spacing w:after="0"/>
            </w:pPr>
            <w:r>
              <w:rPr>
                <w:b/>
              </w:rPr>
              <w:t>Efecto</w:t>
            </w:r>
          </w:p>
        </w:tc>
      </w:tr>
      <w:tr>
        <w:trPr>
          <w:trHeight w:hRule="atLeast"/>
        </w:trPr>
        <w:tc>
          <w:tcPr>
            <w:tcW w:type="dxa" w:w="2016"/>
            <w:tcMar>
              <w:top w:w="65" w:type="dxa"/>
              <w:start w:w="75" w:type="dxa"/>
              <w:bottom w:w="65" w:type="dxa"/>
              <w:end w:w="75" w:type="dxa"/>
            </w:tcMar>
            <w:vAlign w:val="top"/>
          </w:tcPr>
          <w:p>
            <w:pPr>
              <w:keepLines/>
              <w:spacing w:after="0"/>
            </w:pPr>
            <w:r>
              <w:t>WARNING</w:t>
            </w:r>
          </w:p>
        </w:tc>
        <w:tc>
          <w:tcPr>
            <w:tcW w:type="dxa" w:w="8064"/>
            <w:tcMar>
              <w:top w:w="65" w:type="dxa"/>
              <w:start w:w="75" w:type="dxa"/>
              <w:bottom w:w="65" w:type="dxa"/>
              <w:end w:w="75" w:type="dxa"/>
            </w:tcMar>
            <w:vAlign w:val="top"/>
          </w:tcPr>
          <w:p>
            <w:pPr>
              <w:keepLines/>
              <w:spacing w:after="0"/>
            </w:pPr>
            <w:r>
              <w:t>Se conserva; no necesariamente degrada la salida.</w:t>
            </w:r>
          </w:p>
        </w:tc>
      </w:tr>
      <w:tr>
        <w:trPr>
          <w:trHeight w:hRule="atLeast"/>
        </w:trPr>
        <w:tc>
          <w:tcPr>
            <w:tcW w:type="dxa" w:w="2016"/>
            <w:tcMar>
              <w:top w:w="65" w:type="dxa"/>
              <w:start w:w="75" w:type="dxa"/>
              <w:bottom w:w="65" w:type="dxa"/>
              <w:end w:w="75" w:type="dxa"/>
            </w:tcMar>
            <w:vAlign w:val="top"/>
          </w:tcPr>
          <w:p>
            <w:pPr>
              <w:keepLines/>
              <w:spacing w:after="0"/>
            </w:pPr>
            <w:r>
              <w:t>DEGRADED</w:t>
            </w:r>
          </w:p>
        </w:tc>
        <w:tc>
          <w:tcPr>
            <w:tcW w:type="dxa" w:w="8064"/>
            <w:tcMar>
              <w:top w:w="65" w:type="dxa"/>
              <w:start w:w="75" w:type="dxa"/>
              <w:bottom w:w="65" w:type="dxa"/>
              <w:end w:w="75" w:type="dxa"/>
            </w:tcMar>
            <w:vAlign w:val="top"/>
          </w:tcPr>
          <w:p>
            <w:pPr>
              <w:keepLines/>
              <w:spacing w:after="0"/>
            </w:pPr>
            <w:r>
              <w:t>La salida afectada no supera VALID_WITH_LIMITATIONS.</w:t>
            </w:r>
          </w:p>
        </w:tc>
      </w:tr>
      <w:tr>
        <w:trPr>
          <w:trHeight w:hRule="atLeast"/>
        </w:trPr>
        <w:tc>
          <w:tcPr>
            <w:tcW w:type="dxa" w:w="2016"/>
            <w:tcMar>
              <w:top w:w="65" w:type="dxa"/>
              <w:start w:w="75" w:type="dxa"/>
              <w:bottom w:w="65" w:type="dxa"/>
              <w:end w:w="75" w:type="dxa"/>
            </w:tcMar>
            <w:vAlign w:val="top"/>
          </w:tcPr>
          <w:p>
            <w:pPr>
              <w:keepLines/>
              <w:spacing w:after="0"/>
            </w:pPr>
            <w:r>
              <w:t>BLOCKING</w:t>
            </w:r>
          </w:p>
        </w:tc>
        <w:tc>
          <w:tcPr>
            <w:tcW w:type="dxa" w:w="8064"/>
            <w:tcMar>
              <w:top w:w="65" w:type="dxa"/>
              <w:start w:w="75" w:type="dxa"/>
              <w:bottom w:w="65" w:type="dxa"/>
              <w:end w:w="75" w:type="dxa"/>
            </w:tcMar>
            <w:vAlign w:val="top"/>
          </w:tcPr>
          <w:p>
            <w:pPr>
              <w:keepLines/>
              <w:spacing w:after="0"/>
            </w:pPr>
            <w:r>
              <w:t>Impide publicar la salida afectada; puede invalidar la corrida si el fallo es global.</w:t>
            </w:r>
          </w:p>
        </w:tc>
      </w:tr>
    </w:tbl>
    <w:p>
      <w:pPr>
        <w:spacing w:after="20"/>
      </w:pPr>
    </w:p>
    <w:p>
      <w:pPr>
        <w:spacing w:before="100" w:after="140"/>
        <w:ind w:left="360" w:right="288"/>
      </w:pPr>
      <w:r>
        <w:rPr>
          <w:b/>
        </w:rPr>
        <w:t>Ante evidencia insuficiente, PIIO debe perder cobertura antes que inventar posición.</w:t>
      </w:r>
    </w:p>
    <w:p>
      <w:pPr>
        <w:pStyle w:val="Heading2"/>
      </w:pPr>
      <w:r>
        <w:t>30.1 Propagación</w:t>
      </w:r>
    </w:p>
    <w:p>
      <w:r>
        <w:t>Una salida downstream no puede tener mayor calidad que una dependencia crítica. Sin embargo, una inconsistencia local no debe degradar dominios independientes. La propagación se realiza por dependencia, no globalmente por defecto.</w:t>
      </w:r>
    </w:p>
    <w:p>
      <w:pPr>
        <w:pStyle w:val="Heading1"/>
      </w:pPr>
      <w:r>
        <w:t>31. Versionamiento, reproducibilidad y staleness</w:t>
      </w:r>
    </w:p>
    <w:p>
      <w:pPr>
        <w:pStyle w:val="TechnicalBlock"/>
      </w:pPr>
      <w:r>
        <w:t>PIIO_RUN</w:t>
        <w:br/>
        <w:t xml:space="preserve">  piio_run_id</w:t>
        <w:br/>
        <w:t xml:space="preserve">  organization_id</w:t>
        <w:br/>
        <w:t xml:space="preserve">  period</w:t>
        <w:br/>
        <w:t xml:space="preserve">  calculation_version</w:t>
        <w:br/>
        <w:t xml:space="preserve">  parent_calculation_version?</w:t>
        <w:br/>
        <w:t xml:space="preserve">  ruleset_version</w:t>
        <w:br/>
        <w:t xml:space="preserve">  domain_catalog_version</w:t>
        <w:br/>
        <w:t xml:space="preserve">  phenomenon_catalog_version</w:t>
        <w:br/>
        <w:t xml:space="preserve">  metric_definition_versions[]</w:t>
        <w:br/>
        <w:t xml:space="preserve">  reference_versions[]</w:t>
        <w:br/>
        <w:t xml:space="preserve">  node_hierarchy_version</w:t>
        <w:br/>
        <w:t xml:space="preserve">  source_snapshot_ids[]</w:t>
        <w:br/>
        <w:t xml:space="preserve">  update_reason</w:t>
        <w:br/>
        <w:t xml:space="preserve">  generated_at</w:t>
        <w:br/>
        <w:t xml:space="preserve">  run_status</w:t>
      </w:r>
    </w:p>
    <w:p>
      <w:r>
        <w:t>Resultados históricos son inmutables. Cambio de definición, referencia, catálogo, jerarquía o ruleset genera nueva corrida cuando afecta el resultado. REBASE_HISTORY produce nuevas versiones de estados históricos; no sobrescribe versiones anteriores.</w:t>
      </w:r>
    </w:p>
    <w:p>
      <w:pPr>
        <w:jc w:val="center"/>
      </w:pPr>
      <w:r>
        <w:rPr>
          <w:b/>
        </w:rPr>
        <w:t>MISMOS INPUTS + MISMAS VERSIONES → MISMO RESULTADO</w:t>
      </w:r>
    </w:p>
    <w:p>
      <w:pPr>
        <w:pStyle w:val="Heading1"/>
      </w:pPr>
      <w:r>
        <w:t>32. Trazabilidad</w:t>
      </w:r>
    </w:p>
    <w:p>
      <w:pPr>
        <w:pStyle w:val="TechnicalBlock"/>
      </w:pPr>
      <w:r>
        <w:t>TRACE_PATH</w:t>
        <w:br/>
        <w:t xml:space="preserve">  output_id</w:t>
        <w:br/>
        <w:t xml:space="preserve">  output_type</w:t>
        <w:br/>
        <w:t xml:space="preserve">  parent_state_ids[]</w:t>
        <w:br/>
        <w:t xml:space="preserve">  observation_ids[]</w:t>
        <w:br/>
        <w:t xml:space="preserve">  kpi_ids[]</w:t>
        <w:br/>
        <w:t xml:space="preserve">  evidence_group_ids[]</w:t>
        <w:br/>
        <w:t xml:space="preserve">  phenomenon_ids[]</w:t>
        <w:br/>
        <w:t xml:space="preserve">  domain_ids[]</w:t>
        <w:br/>
        <w:t xml:space="preserve">  reference_ids[]</w:t>
        <w:br/>
        <w:t xml:space="preserve">  metric_definition_ids[]</w:t>
        <w:br/>
        <w:t xml:space="preserve">  source_ids[]</w:t>
        <w:br/>
        <w:t xml:space="preserve">  version_ids[]</w:t>
      </w:r>
    </w:p>
    <w:p>
      <w:r>
        <w:t>Toda posición EFO debe poder reconstruirse hasta dominios, fenómenos, grupos, KPI, observaciones y referencias. Toda salida para CFF/IFD debe conservar la misma genealogía.</w:t>
      </w:r>
    </w:p>
    <w:p>
      <w:pPr>
        <w:pStyle w:val="Heading1"/>
      </w:pPr>
      <w:r>
        <w:t>33. Invariantes obligatorios v1.1</w:t>
      </w:r>
    </w:p>
    <w:p>
      <w:r>
        <w:t>INV-PIIO-01. Un KPI no admisible no produce F/I/D.</w:t>
      </w:r>
    </w:p>
    <w:p>
      <w:r>
        <w:t>INV-PIIO-02. Dato ausente no produce F ni D.</w:t>
      </w:r>
    </w:p>
    <w:p>
      <w:r>
        <w:t>INV-PIIO-03. Cero observado no equivale a missing.</w:t>
      </w:r>
    </w:p>
    <w:p>
      <w:r>
        <w:t>INV-PIIO-04. Valor fuera de dominio no se clampa silenciosamente.</w:t>
      </w:r>
    </w:p>
    <w:p>
      <w:r>
        <w:t>INV-PIIO-05. Posición y trayectoria son independientes.</w:t>
      </w:r>
    </w:p>
    <w:p>
      <w:r>
        <w:t>INV-PIIO-06. Persistencia deriva de posición D del mismo nivel.</w:t>
      </w:r>
    </w:p>
    <w:p>
      <w:r>
        <w:t>INV-PIIO-07. Estabilidad histórica no demuestra favorabilidad.</w:t>
      </w:r>
    </w:p>
    <w:p>
      <w:r>
        <w:t>INV-PIIO-08. REF_COND y REF_TEMP no se confunden.</w:t>
      </w:r>
    </w:p>
    <w:p>
      <w:r>
        <w:t>INV-PIIO-09. Referencias no se promedian.</w:t>
      </w:r>
    </w:p>
    <w:p>
      <w:r>
        <w:t>INV-PIIO-10. Valor original nunca es sustituido por clasificación.</w:t>
      </w:r>
    </w:p>
    <w:p>
      <w:r>
        <w:t>INV-PIIO-11. Cada KPI tiene una ruta inferencial primaria única.</w:t>
      </w:r>
    </w:p>
    <w:p>
      <w:r>
        <w:t>INV-PIIO-12. KPI dependientes no constituyen evidencia independiente.</w:t>
      </w:r>
    </w:p>
    <w:p>
      <w:r>
        <w:t>INV-PIIO-13. DERIVED no implica menor proximidad.</w:t>
      </w:r>
    </w:p>
    <w:p>
      <w:r>
        <w:t>INV-PIIO-14. DIRECT precede a PROXY sin ponderación.</w:t>
      </w:r>
    </w:p>
    <w:p>
      <w:r>
        <w:t>INV-PIIO-15. PROXY solo sustituye ausencia de DIRECT cuando está autorizado.</w:t>
      </w:r>
    </w:p>
    <w:p>
      <w:r>
        <w:t>INV-PIIO-16. Inconsistencia dentro del mismo EVIDENCE_GROUP no es divergencia diagnóstica.</w:t>
      </w:r>
    </w:p>
    <w:p>
      <w:r>
        <w:t>INV-PIIO-17. F+D DIRECT comparable en fenómeno produce I, no mayoría.</w:t>
      </w:r>
    </w:p>
    <w:p>
      <w:r>
        <w:t>INV-PIIO-18. CORE y SUPPORTING no son pesos.</w:t>
      </w:r>
    </w:p>
    <w:p>
      <w:r>
        <w:t>INV-PIIO-19. SUPPORTING no sustituye CORE ausente.</w:t>
      </w:r>
    </w:p>
    <w:p>
      <w:r>
        <w:t>INV-PIIO-20. CORE D no se neutraliza con SUPPORTING F.</w:t>
      </w:r>
    </w:p>
    <w:p>
      <w:r>
        <w:t>INV-PIIO-21. SUPPORTING D impide dominio plenamente F.</w:t>
      </w:r>
    </w:p>
    <w:p>
      <w:r>
        <w:t>INV-PIIO-22. Cobertura insuficiente no se convierte en I.</w:t>
      </w:r>
    </w:p>
    <w:p>
      <w:r>
        <w:t>INV-PIIO-23. I puede ser plenamente admisible.</w:t>
      </w:r>
    </w:p>
    <w:p>
      <w:r>
        <w:t>INV-PIIO-24. N_A no es posición intermedia.</w:t>
      </w:r>
    </w:p>
    <w:p>
      <w:r>
        <w:t>INV-PIIO-25. N_A no incrementa det_run ni demuestra recuperación.</w:t>
      </w:r>
    </w:p>
    <w:p>
      <w:r>
        <w:t>INV-PIIO-26. Historia insuficiente produce traj=N_A, no STABLE.</w:t>
      </w:r>
    </w:p>
    <w:p>
      <w:r>
        <w:t>INV-PIIO-27. Pérdida de evidencia no equivale a mejora.</w:t>
      </w:r>
    </w:p>
    <w:p>
      <w:r>
        <w:t>INV-PIIO-28. Cambio de referencia no equivale a cambio operacional.</w:t>
      </w:r>
    </w:p>
    <w:p>
      <w:r>
        <w:t>INV-PIIO-29. Ruptura de definición no se atraviesa sin bridge validado.</w:t>
      </w:r>
    </w:p>
    <w:p>
      <w:r>
        <w:t>INV-PIIO-30. Discrepancia no contemporánea no se declara contradicción automáticamente.</w:t>
      </w:r>
    </w:p>
    <w:p>
      <w:r>
        <w:t>INV-PIIO-31. Todo dominio aplicable tiene al menos un CORE.</w:t>
      </w:r>
    </w:p>
    <w:p>
      <w:r>
        <w:t>INV-PIIO-32. EFO integra DOMAIN_STATE; no reabre KPI.</w:t>
      </w:r>
    </w:p>
    <w:p>
      <w:r>
        <w:t>INV-PIIO-33. REQUIRED D admisible produce EFO D.</w:t>
      </w:r>
    </w:p>
    <w:p>
      <w:r>
        <w:t>INV-PIIO-34. OPTIONAL D no se oculta.</w:t>
      </w:r>
    </w:p>
    <w:p>
      <w:r>
        <w:t>INV-PIIO-35. OPTIONAL D no convierte automáticamente EFO en D.</w:t>
      </w:r>
    </w:p>
    <w:p>
      <w:r>
        <w:t>INV-PIIO-36. Ausencia de REQUIRED no se sustituye con OPTIONAL.</w:t>
      </w:r>
    </w:p>
    <w:p>
      <w:r>
        <w:t>INV-PIIO-37. EFO F exige cobertura REQUIRED suficiente.</w:t>
      </w:r>
    </w:p>
    <w:p>
      <w:r>
        <w:t>INV-PIIO-38. deterioration_present y EFO_pos son propiedades distintas.</w:t>
      </w:r>
    </w:p>
    <w:p>
      <w:r>
        <w:t>INV-PIIO-39. EFO persiste sobre historia EFO, no hereda persistencia de dominios.</w:t>
      </w:r>
    </w:p>
    <w:p>
      <w:r>
        <w:t>INV-PIIO-40. EFO_traj puede cambiar con EFO_pos constante.</w:t>
      </w:r>
    </w:p>
    <w:p>
      <w:r>
        <w:t>INV-PIIO-41. RECOVERY no es salida PIIO.</w:t>
      </w:r>
    </w:p>
    <w:p>
      <w:r>
        <w:t>INV-PIIO-42. PIIO no determina Estado EFICIENCIA.</w:t>
      </w:r>
    </w:p>
    <w:p>
      <w:r>
        <w:t>INV-PIIO-43. PIIO no monetiza.</w:t>
      </w:r>
    </w:p>
    <w:p>
      <w:r>
        <w:t>INV-PIIO-44. PIIO no proyecta costo futuro.</w:t>
      </w:r>
    </w:p>
    <w:p>
      <w:r>
        <w:t>INV-PIIO-45. PIIO no calcula ROI/TRE.</w:t>
      </w:r>
    </w:p>
    <w:p>
      <w:r>
        <w:t>INV-PIIO-46. PIIO no duplica NODE_CONCENTRATION/POLARIZATION de AIE.</w:t>
      </w:r>
    </w:p>
    <w:p>
      <w:r>
        <w:t>INV-PIIO-47. SEGMENT_ONLY no escala automáticamente a ORGANIZATIONAL.</w:t>
      </w:r>
    </w:p>
    <w:p>
      <w:r>
        <w:t>INV-PIIO-48. Padre e hijos no se agregan simultáneamente si existe contención jerárquica.</w:t>
      </w:r>
    </w:p>
    <w:p>
      <w:r>
        <w:t>INV-PIIO-49. Tasas agregadas se recomputan desde numerador/denominador cuando sea posible.</w:t>
      </w:r>
    </w:p>
    <w:p>
      <w:r>
        <w:t>INV-PIIO-50. Promedio simple de tasas no es regla universal.</w:t>
      </w:r>
    </w:p>
    <w:p>
      <w:r>
        <w:t>INV-PIIO-51. Frecuencia fuente/cálculo/agregación se conserva.</w:t>
      </w:r>
    </w:p>
    <w:p>
      <w:r>
        <w:t>INV-PIIO-52. Tasa mensual no equivale a tasa anual.</w:t>
      </w:r>
    </w:p>
    <w:p>
      <w:r>
        <w:t>INV-PIIO-53. Annualización no es automática.</w:t>
      </w:r>
    </w:p>
    <w:p>
      <w:r>
        <w:t>INV-PIIO-54. Numerador/denominador se preservan cuando existen.</w:t>
      </w:r>
    </w:p>
    <w:p>
      <w:r>
        <w:t>INV-PIIO-55. Exposición se mantiene separada de incidencia.</w:t>
      </w:r>
    </w:p>
    <w:p>
      <w:r>
        <w:t>INV-PIIO-56. Aumento de exposición no implica deterioro de eficiencia.</w:t>
      </w:r>
    </w:p>
    <w:p>
      <w:r>
        <w:t>INV-PIIO-57. TEMPORAL_PATTERN no mezcla volatilidad, shock ni régimen.</w:t>
      </w:r>
    </w:p>
    <w:p>
      <w:r>
        <w:t>INV-PIIO-58. Sparsity no es temporal_pattern.</w:t>
      </w:r>
    </w:p>
    <w:p>
      <w:r>
        <w:t>INV-PIIO-59. Shock confirmado no se elimina automáticamente.</w:t>
      </w:r>
    </w:p>
    <w:p>
      <w:r>
        <w:t>INV-PIIO-60. Zero rare events no prueba riesgo futuro cero.</w:t>
      </w:r>
    </w:p>
    <w:p>
      <w:r>
        <w:t>INV-PIIO-61. Freshness vencida no borra historia.</w:t>
      </w:r>
    </w:p>
    <w:p>
      <w:r>
        <w:t>INV-PIIO-62. STALE no equivale a INVALID.</w:t>
      </w:r>
    </w:p>
    <w:p>
      <w:r>
        <w:t>INV-PIIO-63. Toda salida publicada tiene status y trazabilidad.</w:t>
      </w:r>
    </w:p>
    <w:p>
      <w:r>
        <w:t>INV-PIIO-64. Null publicado requiere reason.</w:t>
      </w:r>
    </w:p>
    <w:p>
      <w:r>
        <w:t>INV-PIIO-65. Cambio material de ruleset genera nueva versión.</w:t>
      </w:r>
    </w:p>
    <w:p>
      <w:r>
        <w:t>INV-PIIO-66. Historial no se sobrescribe.</w:t>
      </w:r>
    </w:p>
    <w:p>
      <w:r>
        <w:t>INV-PIIO-67. Mismos inputs/versiones producen mismo resultado.</w:t>
      </w:r>
    </w:p>
    <w:p>
      <w:r>
        <w:t>INV-PIIO-68. CFF/IFD reutilizan phenomenon_id; no redefinen silenciosamente el fenómeno.</w:t>
      </w:r>
    </w:p>
    <w:p>
      <w:r>
        <w:t>INV-PIIO-69. Fenómeno provisional compatible no alimenta EFO/AIE.</w:t>
      </w:r>
    </w:p>
    <w:p>
      <w:r>
        <w:t>INV-PIIO-70. PIIO eligible no implica CFF monetizable ni IFD forecastable.</w:t>
      </w:r>
    </w:p>
    <w:p>
      <w:r>
        <w:t>INV-PIIO-71. AIE no reimplementa PIIO.</w:t>
      </w:r>
    </w:p>
    <w:p>
      <w:r>
        <w:t>INV-PIIO-72. CFF/IFD no alteran retrospectivamente EFO.</w:t>
      </w:r>
    </w:p>
    <w:p>
      <w:r>
        <w:t>INV-PIIO-73. Los perfiles de nodo se preservan aunque no cambien EFO_pos.</w:t>
      </w:r>
    </w:p>
    <w:p>
      <w:r>
        <w:t>INV-PIIO-74. Deterioro localizado válido nunca se pierde por compensación aritmética.</w:t>
      </w:r>
    </w:p>
    <w:p>
      <w:r>
        <w:t>INV-PIIO-75. No existen pesos universales de KPI, fenómenos o dominios.</w:t>
      </w:r>
    </w:p>
    <w:p>
      <w:r>
        <w:t>INV-PIIO-76. No existe mayoría simple como regla de resolución.</w:t>
      </w:r>
    </w:p>
    <w:p>
      <w:r>
        <w:t>INV-PIIO-77. Cobertura y posición nunca se multiplican.</w:t>
      </w:r>
    </w:p>
    <w:p>
      <w:r>
        <w:t>INV-PIIO-78. Admisibilidad y magnitud observada son dimensiones separadas.</w:t>
      </w:r>
    </w:p>
    <w:p>
      <w:r>
        <w:t>INV-PIIO-79. La precisión de cálculo no sustituye suficiencia inferencial.</w:t>
      </w:r>
    </w:p>
    <w:p>
      <w:r>
        <w:t>INV-PIIO-80. Toda EFO puede reconstruirse desde observaciones originales.</w:t>
      </w:r>
    </w:p>
    <w:p>
      <w:pPr>
        <w:pStyle w:val="Heading1"/>
      </w:pPr>
      <w:r>
        <w:t>34. Suite formal de estrés y aceptación</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936"/>
            <w:shd w:fill="D9E2F3"/>
            <w:tcMar>
              <w:top w:w="65" w:type="dxa"/>
              <w:start w:w="75" w:type="dxa"/>
              <w:bottom w:w="65" w:type="dxa"/>
              <w:end w:w="75" w:type="dxa"/>
            </w:tcMar>
          </w:tcPr>
          <w:p>
            <w:pPr>
              <w:spacing w:after="0"/>
            </w:pPr>
            <w:r>
              <w:rPr>
                <w:b/>
              </w:rPr>
              <w:t>ID</w:t>
            </w:r>
          </w:p>
        </w:tc>
        <w:tc>
          <w:tcPr>
            <w:tcW w:type="dxa" w:w="3672"/>
            <w:shd w:fill="D9E2F3"/>
            <w:tcMar>
              <w:top w:w="65" w:type="dxa"/>
              <w:start w:w="75" w:type="dxa"/>
              <w:bottom w:w="65" w:type="dxa"/>
              <w:end w:w="75" w:type="dxa"/>
            </w:tcMar>
          </w:tcPr>
          <w:p>
            <w:pPr>
              <w:spacing w:after="0"/>
            </w:pPr>
            <w:r>
              <w:rPr>
                <w:b/>
              </w:rPr>
              <w:t>Caso</w:t>
            </w:r>
          </w:p>
        </w:tc>
        <w:tc>
          <w:tcPr>
            <w:tcW w:type="dxa" w:w="5472"/>
            <w:shd w:fill="D9E2F3"/>
            <w:tcMar>
              <w:top w:w="65" w:type="dxa"/>
              <w:start w:w="75" w:type="dxa"/>
              <w:bottom w:w="65" w:type="dxa"/>
              <w:end w:w="75" w:type="dxa"/>
            </w:tcMar>
          </w:tcPr>
          <w:p>
            <w:pPr>
              <w:spacing w:after="0"/>
            </w:pPr>
            <w:r>
              <w:rPr>
                <w:b/>
              </w:rPr>
              <w:t>Resultado esperado</w:t>
            </w:r>
          </w:p>
        </w:tc>
      </w:tr>
      <w:tr>
        <w:trPr>
          <w:trHeight w:hRule="atLeast"/>
        </w:trPr>
        <w:tc>
          <w:tcPr>
            <w:tcW w:type="dxa" w:w="936"/>
            <w:tcMar>
              <w:top w:w="65" w:type="dxa"/>
              <w:start w:w="75" w:type="dxa"/>
              <w:bottom w:w="65" w:type="dxa"/>
              <w:end w:w="75" w:type="dxa"/>
            </w:tcMar>
            <w:vAlign w:val="top"/>
          </w:tcPr>
          <w:p>
            <w:pPr>
              <w:keepLines/>
              <w:spacing w:after="0"/>
            </w:pPr>
            <w:r>
              <w:t>AC01</w:t>
            </w:r>
          </w:p>
        </w:tc>
        <w:tc>
          <w:tcPr>
            <w:tcW w:type="dxa" w:w="3672"/>
            <w:tcMar>
              <w:top w:w="65" w:type="dxa"/>
              <w:start w:w="75" w:type="dxa"/>
              <w:bottom w:w="65" w:type="dxa"/>
              <w:end w:w="75" w:type="dxa"/>
            </w:tcMar>
            <w:vAlign w:val="top"/>
          </w:tcPr>
          <w:p>
            <w:pPr>
              <w:keepLines/>
              <w:spacing w:after="0"/>
            </w:pPr>
            <w:r>
              <w:t>KPI F/I/D/N_A con referencia válida</w:t>
            </w:r>
          </w:p>
        </w:tc>
        <w:tc>
          <w:tcPr>
            <w:tcW w:type="dxa" w:w="5472"/>
            <w:tcMar>
              <w:top w:w="65" w:type="dxa"/>
              <w:start w:w="75" w:type="dxa"/>
              <w:bottom w:w="65" w:type="dxa"/>
              <w:end w:w="75" w:type="dxa"/>
            </w:tcMar>
            <w:vAlign w:val="top"/>
          </w:tcPr>
          <w:p>
            <w:pPr>
              <w:keepLines/>
              <w:spacing w:after="0"/>
            </w:pPr>
            <w:r>
              <w:t>Clasificación correcta; N_A solo por insuficiencia válida.</w:t>
            </w:r>
          </w:p>
        </w:tc>
      </w:tr>
      <w:tr>
        <w:trPr>
          <w:trHeight w:hRule="atLeast"/>
        </w:trPr>
        <w:tc>
          <w:tcPr>
            <w:tcW w:type="dxa" w:w="936"/>
            <w:tcMar>
              <w:top w:w="65" w:type="dxa"/>
              <w:start w:w="75" w:type="dxa"/>
              <w:bottom w:w="65" w:type="dxa"/>
              <w:end w:w="75" w:type="dxa"/>
            </w:tcMar>
            <w:vAlign w:val="top"/>
          </w:tcPr>
          <w:p>
            <w:pPr>
              <w:keepLines/>
              <w:spacing w:after="0"/>
            </w:pPr>
            <w:r>
              <w:t>AC02</w:t>
            </w:r>
          </w:p>
        </w:tc>
        <w:tc>
          <w:tcPr>
            <w:tcW w:type="dxa" w:w="3672"/>
            <w:tcMar>
              <w:top w:w="65" w:type="dxa"/>
              <w:start w:w="75" w:type="dxa"/>
              <w:bottom w:w="65" w:type="dxa"/>
              <w:end w:w="75" w:type="dxa"/>
            </w:tcMar>
            <w:vAlign w:val="top"/>
          </w:tcPr>
          <w:p>
            <w:pPr>
              <w:keepLines/>
              <w:spacing w:after="0"/>
            </w:pPr>
            <w:r>
              <w:t>Sin REF_COND admisible</w:t>
            </w:r>
          </w:p>
        </w:tc>
        <w:tc>
          <w:tcPr>
            <w:tcW w:type="dxa" w:w="5472"/>
            <w:tcMar>
              <w:top w:w="65" w:type="dxa"/>
              <w:start w:w="75" w:type="dxa"/>
              <w:bottom w:w="65" w:type="dxa"/>
              <w:end w:w="75" w:type="dxa"/>
            </w:tcMar>
            <w:vAlign w:val="top"/>
          </w:tcPr>
          <w:p>
            <w:pPr>
              <w:keepLines/>
              <w:spacing w:after="0"/>
            </w:pPr>
            <w:r>
              <w:t>pos=N_A; no inferir I.</w:t>
            </w:r>
          </w:p>
        </w:tc>
      </w:tr>
      <w:tr>
        <w:trPr>
          <w:trHeight w:hRule="atLeast"/>
        </w:trPr>
        <w:tc>
          <w:tcPr>
            <w:tcW w:type="dxa" w:w="936"/>
            <w:tcMar>
              <w:top w:w="65" w:type="dxa"/>
              <w:start w:w="75" w:type="dxa"/>
              <w:bottom w:w="65" w:type="dxa"/>
              <w:end w:w="75" w:type="dxa"/>
            </w:tcMar>
            <w:vAlign w:val="top"/>
          </w:tcPr>
          <w:p>
            <w:pPr>
              <w:keepLines/>
              <w:spacing w:after="0"/>
            </w:pPr>
            <w:r>
              <w:t>AC03</w:t>
            </w:r>
          </w:p>
        </w:tc>
        <w:tc>
          <w:tcPr>
            <w:tcW w:type="dxa" w:w="3672"/>
            <w:tcMar>
              <w:top w:w="65" w:type="dxa"/>
              <w:start w:w="75" w:type="dxa"/>
              <w:bottom w:w="65" w:type="dxa"/>
              <w:end w:w="75" w:type="dxa"/>
            </w:tcMar>
            <w:vAlign w:val="top"/>
          </w:tcPr>
          <w:p>
            <w:pPr>
              <w:keepLines/>
              <w:spacing w:after="0"/>
            </w:pPr>
            <w:r>
              <w:t>Sin historia comparable</w:t>
            </w:r>
          </w:p>
        </w:tc>
        <w:tc>
          <w:tcPr>
            <w:tcW w:type="dxa" w:w="5472"/>
            <w:tcMar>
              <w:top w:w="65" w:type="dxa"/>
              <w:start w:w="75" w:type="dxa"/>
              <w:bottom w:w="65" w:type="dxa"/>
              <w:end w:w="75" w:type="dxa"/>
            </w:tcMar>
            <w:vAlign w:val="top"/>
          </w:tcPr>
          <w:p>
            <w:pPr>
              <w:keepLines/>
              <w:spacing w:after="0"/>
            </w:pPr>
            <w:r>
              <w:t>traj=N_A; no STABLE.</w:t>
            </w:r>
          </w:p>
        </w:tc>
      </w:tr>
      <w:tr>
        <w:trPr>
          <w:trHeight w:hRule="atLeast"/>
        </w:trPr>
        <w:tc>
          <w:tcPr>
            <w:tcW w:type="dxa" w:w="936"/>
            <w:tcMar>
              <w:top w:w="65" w:type="dxa"/>
              <w:start w:w="75" w:type="dxa"/>
              <w:bottom w:w="65" w:type="dxa"/>
              <w:end w:w="75" w:type="dxa"/>
            </w:tcMar>
            <w:vAlign w:val="top"/>
          </w:tcPr>
          <w:p>
            <w:pPr>
              <w:keepLines/>
              <w:spacing w:after="0"/>
            </w:pPr>
            <w:r>
              <w:t>AC04</w:t>
            </w:r>
          </w:p>
        </w:tc>
        <w:tc>
          <w:tcPr>
            <w:tcW w:type="dxa" w:w="3672"/>
            <w:tcMar>
              <w:top w:w="65" w:type="dxa"/>
              <w:start w:w="75" w:type="dxa"/>
              <w:bottom w:w="65" w:type="dxa"/>
              <w:end w:w="75" w:type="dxa"/>
            </w:tcMar>
            <w:vAlign w:val="top"/>
          </w:tcPr>
          <w:p>
            <w:pPr>
              <w:keepLines/>
              <w:spacing w:after="0"/>
            </w:pPr>
            <w:r>
              <w:t>HIGHER_IS_WORSE</w:t>
            </w:r>
          </w:p>
        </w:tc>
        <w:tc>
          <w:tcPr>
            <w:tcW w:type="dxa" w:w="5472"/>
            <w:tcMar>
              <w:top w:w="65" w:type="dxa"/>
              <w:start w:w="75" w:type="dxa"/>
              <w:bottom w:w="65" w:type="dxa"/>
              <w:end w:w="75" w:type="dxa"/>
            </w:tcMar>
            <w:vAlign w:val="top"/>
          </w:tcPr>
          <w:p>
            <w:pPr>
              <w:keepLines/>
              <w:spacing w:after="0"/>
            </w:pPr>
            <w:r>
              <w:t>Dirección correcta.</w:t>
            </w:r>
          </w:p>
        </w:tc>
      </w:tr>
      <w:tr>
        <w:trPr>
          <w:trHeight w:hRule="atLeast"/>
        </w:trPr>
        <w:tc>
          <w:tcPr>
            <w:tcW w:type="dxa" w:w="936"/>
            <w:tcMar>
              <w:top w:w="65" w:type="dxa"/>
              <w:start w:w="75" w:type="dxa"/>
              <w:bottom w:w="65" w:type="dxa"/>
              <w:end w:w="75" w:type="dxa"/>
            </w:tcMar>
            <w:vAlign w:val="top"/>
          </w:tcPr>
          <w:p>
            <w:pPr>
              <w:keepLines/>
              <w:spacing w:after="0"/>
            </w:pPr>
            <w:r>
              <w:t>AC05</w:t>
            </w:r>
          </w:p>
        </w:tc>
        <w:tc>
          <w:tcPr>
            <w:tcW w:type="dxa" w:w="3672"/>
            <w:tcMar>
              <w:top w:w="65" w:type="dxa"/>
              <w:start w:w="75" w:type="dxa"/>
              <w:bottom w:w="65" w:type="dxa"/>
              <w:end w:w="75" w:type="dxa"/>
            </w:tcMar>
            <w:vAlign w:val="top"/>
          </w:tcPr>
          <w:p>
            <w:pPr>
              <w:keepLines/>
              <w:spacing w:after="0"/>
            </w:pPr>
            <w:r>
              <w:t>LOWER_IS_WORSE</w:t>
            </w:r>
          </w:p>
        </w:tc>
        <w:tc>
          <w:tcPr>
            <w:tcW w:type="dxa" w:w="5472"/>
            <w:tcMar>
              <w:top w:w="65" w:type="dxa"/>
              <w:start w:w="75" w:type="dxa"/>
              <w:bottom w:w="65" w:type="dxa"/>
              <w:end w:w="75" w:type="dxa"/>
            </w:tcMar>
            <w:vAlign w:val="top"/>
          </w:tcPr>
          <w:p>
            <w:pPr>
              <w:keepLines/>
              <w:spacing w:after="0"/>
            </w:pPr>
            <w:r>
              <w:t>Dirección correcta.</w:t>
            </w:r>
          </w:p>
        </w:tc>
      </w:tr>
      <w:tr>
        <w:trPr>
          <w:trHeight w:hRule="atLeast"/>
        </w:trPr>
        <w:tc>
          <w:tcPr>
            <w:tcW w:type="dxa" w:w="936"/>
            <w:tcMar>
              <w:top w:w="65" w:type="dxa"/>
              <w:start w:w="75" w:type="dxa"/>
              <w:bottom w:w="65" w:type="dxa"/>
              <w:end w:w="75" w:type="dxa"/>
            </w:tcMar>
            <w:vAlign w:val="top"/>
          </w:tcPr>
          <w:p>
            <w:pPr>
              <w:keepLines/>
              <w:spacing w:after="0"/>
            </w:pPr>
            <w:r>
              <w:t>AC06</w:t>
            </w:r>
          </w:p>
        </w:tc>
        <w:tc>
          <w:tcPr>
            <w:tcW w:type="dxa" w:w="3672"/>
            <w:tcMar>
              <w:top w:w="65" w:type="dxa"/>
              <w:start w:w="75" w:type="dxa"/>
              <w:bottom w:w="65" w:type="dxa"/>
              <w:end w:w="75" w:type="dxa"/>
            </w:tcMar>
            <w:vAlign w:val="top"/>
          </w:tcPr>
          <w:p>
            <w:pPr>
              <w:keepLines/>
              <w:spacing w:after="0"/>
            </w:pPr>
            <w:r>
              <w:t>TARGET_RANGE por debajo</w:t>
            </w:r>
          </w:p>
        </w:tc>
        <w:tc>
          <w:tcPr>
            <w:tcW w:type="dxa" w:w="5472"/>
            <w:tcMar>
              <w:top w:w="65" w:type="dxa"/>
              <w:start w:w="75" w:type="dxa"/>
              <w:bottom w:w="65" w:type="dxa"/>
              <w:end w:w="75" w:type="dxa"/>
            </w:tcMar>
            <w:vAlign w:val="top"/>
          </w:tcPr>
          <w:p>
            <w:pPr>
              <w:keepLines/>
              <w:spacing w:after="0"/>
            </w:pPr>
            <w:r>
              <w:t>Clasificación según regla explícita.</w:t>
            </w:r>
          </w:p>
        </w:tc>
      </w:tr>
      <w:tr>
        <w:trPr>
          <w:trHeight w:hRule="atLeast"/>
        </w:trPr>
        <w:tc>
          <w:tcPr>
            <w:tcW w:type="dxa" w:w="936"/>
            <w:tcMar>
              <w:top w:w="65" w:type="dxa"/>
              <w:start w:w="75" w:type="dxa"/>
              <w:bottom w:w="65" w:type="dxa"/>
              <w:end w:w="75" w:type="dxa"/>
            </w:tcMar>
            <w:vAlign w:val="top"/>
          </w:tcPr>
          <w:p>
            <w:pPr>
              <w:keepLines/>
              <w:spacing w:after="0"/>
            </w:pPr>
            <w:r>
              <w:t>AC07</w:t>
            </w:r>
          </w:p>
        </w:tc>
        <w:tc>
          <w:tcPr>
            <w:tcW w:type="dxa" w:w="3672"/>
            <w:tcMar>
              <w:top w:w="65" w:type="dxa"/>
              <w:start w:w="75" w:type="dxa"/>
              <w:bottom w:w="65" w:type="dxa"/>
              <w:end w:w="75" w:type="dxa"/>
            </w:tcMar>
            <w:vAlign w:val="top"/>
          </w:tcPr>
          <w:p>
            <w:pPr>
              <w:keepLines/>
              <w:spacing w:after="0"/>
            </w:pPr>
            <w:r>
              <w:t>TARGET_RANGE por encima</w:t>
            </w:r>
          </w:p>
        </w:tc>
        <w:tc>
          <w:tcPr>
            <w:tcW w:type="dxa" w:w="5472"/>
            <w:tcMar>
              <w:top w:w="65" w:type="dxa"/>
              <w:start w:w="75" w:type="dxa"/>
              <w:bottom w:w="65" w:type="dxa"/>
              <w:end w:w="75" w:type="dxa"/>
            </w:tcMar>
            <w:vAlign w:val="top"/>
          </w:tcPr>
          <w:p>
            <w:pPr>
              <w:keepLines/>
              <w:spacing w:after="0"/>
            </w:pPr>
            <w:r>
              <w:t>Clasificación según regla explícita.</w:t>
            </w:r>
          </w:p>
        </w:tc>
      </w:tr>
      <w:tr>
        <w:trPr>
          <w:trHeight w:hRule="atLeast"/>
        </w:trPr>
        <w:tc>
          <w:tcPr>
            <w:tcW w:type="dxa" w:w="936"/>
            <w:tcMar>
              <w:top w:w="65" w:type="dxa"/>
              <w:start w:w="75" w:type="dxa"/>
              <w:bottom w:w="65" w:type="dxa"/>
              <w:end w:w="75" w:type="dxa"/>
            </w:tcMar>
            <w:vAlign w:val="top"/>
          </w:tcPr>
          <w:p>
            <w:pPr>
              <w:keepLines/>
              <w:spacing w:after="0"/>
            </w:pPr>
            <w:r>
              <w:t>AC08</w:t>
            </w:r>
          </w:p>
        </w:tc>
        <w:tc>
          <w:tcPr>
            <w:tcW w:type="dxa" w:w="3672"/>
            <w:tcMar>
              <w:top w:w="65" w:type="dxa"/>
              <w:start w:w="75" w:type="dxa"/>
              <w:bottom w:w="65" w:type="dxa"/>
              <w:end w:w="75" w:type="dxa"/>
            </w:tcMar>
            <w:vAlign w:val="top"/>
          </w:tcPr>
          <w:p>
            <w:pPr>
              <w:keepLines/>
              <w:spacing w:after="0"/>
            </w:pPr>
            <w:r>
              <w:t>Valor fuera de rango físico</w:t>
            </w:r>
          </w:p>
        </w:tc>
        <w:tc>
          <w:tcPr>
            <w:tcW w:type="dxa" w:w="5472"/>
            <w:tcMar>
              <w:top w:w="65" w:type="dxa"/>
              <w:start w:w="75" w:type="dxa"/>
              <w:bottom w:w="65" w:type="dxa"/>
              <w:end w:w="75" w:type="dxa"/>
            </w:tcMar>
            <w:vAlign w:val="top"/>
          </w:tcPr>
          <w:p>
            <w:pPr>
              <w:keepLines/>
              <w:spacing w:after="0"/>
            </w:pPr>
            <w:r>
              <w:t>INVALID; no clamp.</w:t>
            </w:r>
          </w:p>
        </w:tc>
      </w:tr>
      <w:tr>
        <w:trPr>
          <w:trHeight w:hRule="atLeast"/>
        </w:trPr>
        <w:tc>
          <w:tcPr>
            <w:tcW w:type="dxa" w:w="936"/>
            <w:tcMar>
              <w:top w:w="65" w:type="dxa"/>
              <w:start w:w="75" w:type="dxa"/>
              <w:bottom w:w="65" w:type="dxa"/>
              <w:end w:w="75" w:type="dxa"/>
            </w:tcMar>
            <w:vAlign w:val="top"/>
          </w:tcPr>
          <w:p>
            <w:pPr>
              <w:keepLines/>
              <w:spacing w:after="0"/>
            </w:pPr>
            <w:r>
              <w:t>AC09</w:t>
            </w:r>
          </w:p>
        </w:tc>
        <w:tc>
          <w:tcPr>
            <w:tcW w:type="dxa" w:w="3672"/>
            <w:tcMar>
              <w:top w:w="65" w:type="dxa"/>
              <w:start w:w="75" w:type="dxa"/>
              <w:bottom w:w="65" w:type="dxa"/>
              <w:end w:w="75" w:type="dxa"/>
            </w:tcMar>
            <w:vAlign w:val="top"/>
          </w:tcPr>
          <w:p>
            <w:pPr>
              <w:keepLines/>
              <w:spacing w:after="0"/>
            </w:pPr>
            <w:r>
              <w:t>Missing</w:t>
            </w:r>
          </w:p>
        </w:tc>
        <w:tc>
          <w:tcPr>
            <w:tcW w:type="dxa" w:w="5472"/>
            <w:tcMar>
              <w:top w:w="65" w:type="dxa"/>
              <w:start w:w="75" w:type="dxa"/>
              <w:bottom w:w="65" w:type="dxa"/>
              <w:end w:w="75" w:type="dxa"/>
            </w:tcMar>
            <w:vAlign w:val="top"/>
          </w:tcPr>
          <w:p>
            <w:pPr>
              <w:keepLines/>
              <w:spacing w:after="0"/>
            </w:pPr>
            <w:r>
              <w:t>value=null; no cero.</w:t>
            </w:r>
          </w:p>
        </w:tc>
      </w:tr>
      <w:tr>
        <w:trPr>
          <w:trHeight w:hRule="atLeast"/>
        </w:trPr>
        <w:tc>
          <w:tcPr>
            <w:tcW w:type="dxa" w:w="936"/>
            <w:tcMar>
              <w:top w:w="65" w:type="dxa"/>
              <w:start w:w="75" w:type="dxa"/>
              <w:bottom w:w="65" w:type="dxa"/>
              <w:end w:w="75" w:type="dxa"/>
            </w:tcMar>
            <w:vAlign w:val="top"/>
          </w:tcPr>
          <w:p>
            <w:pPr>
              <w:keepLines/>
              <w:spacing w:after="0"/>
            </w:pPr>
            <w:r>
              <w:t>AC10</w:t>
            </w:r>
          </w:p>
        </w:tc>
        <w:tc>
          <w:tcPr>
            <w:tcW w:type="dxa" w:w="3672"/>
            <w:tcMar>
              <w:top w:w="65" w:type="dxa"/>
              <w:start w:w="75" w:type="dxa"/>
              <w:bottom w:w="65" w:type="dxa"/>
              <w:end w:w="75" w:type="dxa"/>
            </w:tcMar>
            <w:vAlign w:val="top"/>
          </w:tcPr>
          <w:p>
            <w:pPr>
              <w:keepLines/>
              <w:spacing w:after="0"/>
            </w:pPr>
            <w:r>
              <w:t>Cero confirmado</w:t>
            </w:r>
          </w:p>
        </w:tc>
        <w:tc>
          <w:tcPr>
            <w:tcW w:type="dxa" w:w="5472"/>
            <w:tcMar>
              <w:top w:w="65" w:type="dxa"/>
              <w:start w:w="75" w:type="dxa"/>
              <w:bottom w:w="65" w:type="dxa"/>
              <w:end w:w="75" w:type="dxa"/>
            </w:tcMar>
            <w:vAlign w:val="top"/>
          </w:tcPr>
          <w:p>
            <w:pPr>
              <w:keepLines/>
              <w:spacing w:after="0"/>
            </w:pPr>
            <w:r>
              <w:t>Valor 0 válido.</w:t>
            </w:r>
          </w:p>
        </w:tc>
      </w:tr>
      <w:tr>
        <w:trPr>
          <w:trHeight w:hRule="atLeast"/>
        </w:trPr>
        <w:tc>
          <w:tcPr>
            <w:tcW w:type="dxa" w:w="936"/>
            <w:tcMar>
              <w:top w:w="65" w:type="dxa"/>
              <w:start w:w="75" w:type="dxa"/>
              <w:bottom w:w="65" w:type="dxa"/>
              <w:end w:w="75" w:type="dxa"/>
            </w:tcMar>
            <w:vAlign w:val="top"/>
          </w:tcPr>
          <w:p>
            <w:pPr>
              <w:keepLines/>
              <w:spacing w:after="0"/>
            </w:pPr>
            <w:r>
              <w:t>AC11</w:t>
            </w:r>
          </w:p>
        </w:tc>
        <w:tc>
          <w:tcPr>
            <w:tcW w:type="dxa" w:w="3672"/>
            <w:tcMar>
              <w:top w:w="65" w:type="dxa"/>
              <w:start w:w="75" w:type="dxa"/>
              <w:bottom w:w="65" w:type="dxa"/>
              <w:end w:w="75" w:type="dxa"/>
            </w:tcMar>
            <w:vAlign w:val="top"/>
          </w:tcPr>
          <w:p>
            <w:pPr>
              <w:keepLines/>
              <w:spacing w:after="0"/>
            </w:pPr>
            <w:r>
              <w:t>Tasa con denominador pequeño</w:t>
            </w:r>
          </w:p>
        </w:tc>
        <w:tc>
          <w:tcPr>
            <w:tcW w:type="dxa" w:w="5472"/>
            <w:tcMar>
              <w:top w:w="65" w:type="dxa"/>
              <w:start w:w="75" w:type="dxa"/>
              <w:bottom w:w="65" w:type="dxa"/>
              <w:end w:w="75" w:type="dxa"/>
            </w:tcMar>
            <w:vAlign w:val="top"/>
          </w:tcPr>
          <w:p>
            <w:pPr>
              <w:keepLines/>
              <w:spacing w:after="0"/>
            </w:pPr>
            <w:r>
              <w:t>Conservar denominador y limitación de estabilidad.</w:t>
            </w:r>
          </w:p>
        </w:tc>
      </w:tr>
      <w:tr>
        <w:trPr>
          <w:trHeight w:hRule="atLeast"/>
        </w:trPr>
        <w:tc>
          <w:tcPr>
            <w:tcW w:type="dxa" w:w="936"/>
            <w:tcMar>
              <w:top w:w="65" w:type="dxa"/>
              <w:start w:w="75" w:type="dxa"/>
              <w:bottom w:w="65" w:type="dxa"/>
              <w:end w:w="75" w:type="dxa"/>
            </w:tcMar>
            <w:vAlign w:val="top"/>
          </w:tcPr>
          <w:p>
            <w:pPr>
              <w:keepLines/>
              <w:spacing w:after="0"/>
            </w:pPr>
            <w:r>
              <w:t>AC12</w:t>
            </w:r>
          </w:p>
        </w:tc>
        <w:tc>
          <w:tcPr>
            <w:tcW w:type="dxa" w:w="3672"/>
            <w:tcMar>
              <w:top w:w="65" w:type="dxa"/>
              <w:start w:w="75" w:type="dxa"/>
              <w:bottom w:w="65" w:type="dxa"/>
              <w:end w:w="75" w:type="dxa"/>
            </w:tcMar>
            <w:vAlign w:val="top"/>
          </w:tcPr>
          <w:p>
            <w:pPr>
              <w:keepLines/>
              <w:spacing w:after="0"/>
            </w:pPr>
            <w:r>
              <w:t>Cambio de REF_COND con REBASE_HISTORY</w:t>
            </w:r>
          </w:p>
        </w:tc>
        <w:tc>
          <w:tcPr>
            <w:tcW w:type="dxa" w:w="5472"/>
            <w:tcMar>
              <w:top w:w="65" w:type="dxa"/>
              <w:start w:w="75" w:type="dxa"/>
              <w:bottom w:w="65" w:type="dxa"/>
              <w:end w:w="75" w:type="dxa"/>
            </w:tcMar>
            <w:vAlign w:val="top"/>
          </w:tcPr>
          <w:p>
            <w:pPr>
              <w:keepLines/>
              <w:spacing w:after="0"/>
            </w:pPr>
            <w:r>
              <w:t>Nueva versión histórica; original intacta.</w:t>
            </w:r>
          </w:p>
        </w:tc>
      </w:tr>
      <w:tr>
        <w:trPr>
          <w:trHeight w:hRule="atLeast"/>
        </w:trPr>
        <w:tc>
          <w:tcPr>
            <w:tcW w:type="dxa" w:w="936"/>
            <w:tcMar>
              <w:top w:w="65" w:type="dxa"/>
              <w:start w:w="75" w:type="dxa"/>
              <w:bottom w:w="65" w:type="dxa"/>
              <w:end w:w="75" w:type="dxa"/>
            </w:tcMar>
            <w:vAlign w:val="top"/>
          </w:tcPr>
          <w:p>
            <w:pPr>
              <w:keepLines/>
              <w:spacing w:after="0"/>
            </w:pPr>
            <w:r>
              <w:t>AC13</w:t>
            </w:r>
          </w:p>
        </w:tc>
        <w:tc>
          <w:tcPr>
            <w:tcW w:type="dxa" w:w="3672"/>
            <w:tcMar>
              <w:top w:w="65" w:type="dxa"/>
              <w:start w:w="75" w:type="dxa"/>
              <w:bottom w:w="65" w:type="dxa"/>
              <w:end w:w="75" w:type="dxa"/>
            </w:tcMar>
            <w:vAlign w:val="top"/>
          </w:tcPr>
          <w:p>
            <w:pPr>
              <w:keepLines/>
              <w:spacing w:after="0"/>
            </w:pPr>
            <w:r>
              <w:t>Cambio de REF_COND con START_NEW_REGIME</w:t>
            </w:r>
          </w:p>
        </w:tc>
        <w:tc>
          <w:tcPr>
            <w:tcW w:type="dxa" w:w="5472"/>
            <w:tcMar>
              <w:top w:w="65" w:type="dxa"/>
              <w:start w:w="75" w:type="dxa"/>
              <w:bottom w:w="65" w:type="dxa"/>
              <w:end w:w="75" w:type="dxa"/>
            </w:tcMar>
            <w:vAlign w:val="top"/>
          </w:tcPr>
          <w:p>
            <w:pPr>
              <w:keepLines/>
              <w:spacing w:after="0"/>
            </w:pPr>
            <w:r>
              <w:t>No mezclar regímenes.</w:t>
            </w:r>
          </w:p>
        </w:tc>
      </w:tr>
      <w:tr>
        <w:trPr>
          <w:trHeight w:hRule="atLeast"/>
        </w:trPr>
        <w:tc>
          <w:tcPr>
            <w:tcW w:type="dxa" w:w="936"/>
            <w:tcMar>
              <w:top w:w="65" w:type="dxa"/>
              <w:start w:w="75" w:type="dxa"/>
              <w:bottom w:w="65" w:type="dxa"/>
              <w:end w:w="75" w:type="dxa"/>
            </w:tcMar>
            <w:vAlign w:val="top"/>
          </w:tcPr>
          <w:p>
            <w:pPr>
              <w:keepLines/>
              <w:spacing w:after="0"/>
            </w:pPr>
            <w:r>
              <w:t>AC14</w:t>
            </w:r>
          </w:p>
        </w:tc>
        <w:tc>
          <w:tcPr>
            <w:tcW w:type="dxa" w:w="3672"/>
            <w:tcMar>
              <w:top w:w="65" w:type="dxa"/>
              <w:start w:w="75" w:type="dxa"/>
              <w:bottom w:w="65" w:type="dxa"/>
              <w:end w:w="75" w:type="dxa"/>
            </w:tcMar>
            <w:vAlign w:val="top"/>
          </w:tcPr>
          <w:p>
            <w:pPr>
              <w:keepLines/>
              <w:spacing w:after="0"/>
            </w:pPr>
            <w:r>
              <w:t>Cambio de definición CONTINUOUS</w:t>
            </w:r>
          </w:p>
        </w:tc>
        <w:tc>
          <w:tcPr>
            <w:tcW w:type="dxa" w:w="5472"/>
            <w:tcMar>
              <w:top w:w="65" w:type="dxa"/>
              <w:start w:w="75" w:type="dxa"/>
              <w:bottom w:w="65" w:type="dxa"/>
              <w:end w:w="75" w:type="dxa"/>
            </w:tcMar>
            <w:vAlign w:val="top"/>
          </w:tcPr>
          <w:p>
            <w:pPr>
              <w:keepLines/>
              <w:spacing w:after="0"/>
            </w:pPr>
            <w:r>
              <w:t>Mantener continuidad.</w:t>
            </w:r>
          </w:p>
        </w:tc>
      </w:tr>
      <w:tr>
        <w:trPr>
          <w:trHeight w:hRule="atLeast"/>
        </w:trPr>
        <w:tc>
          <w:tcPr>
            <w:tcW w:type="dxa" w:w="936"/>
            <w:tcMar>
              <w:top w:w="65" w:type="dxa"/>
              <w:start w:w="75" w:type="dxa"/>
              <w:bottom w:w="65" w:type="dxa"/>
              <w:end w:w="75" w:type="dxa"/>
            </w:tcMar>
            <w:vAlign w:val="top"/>
          </w:tcPr>
          <w:p>
            <w:pPr>
              <w:keepLines/>
              <w:spacing w:after="0"/>
            </w:pPr>
            <w:r>
              <w:t>AC15</w:t>
            </w:r>
          </w:p>
        </w:tc>
        <w:tc>
          <w:tcPr>
            <w:tcW w:type="dxa" w:w="3672"/>
            <w:tcMar>
              <w:top w:w="65" w:type="dxa"/>
              <w:start w:w="75" w:type="dxa"/>
              <w:bottom w:w="65" w:type="dxa"/>
              <w:end w:w="75" w:type="dxa"/>
            </w:tcMar>
            <w:vAlign w:val="top"/>
          </w:tcPr>
          <w:p>
            <w:pPr>
              <w:keepLines/>
              <w:spacing w:after="0"/>
            </w:pPr>
            <w:r>
              <w:t>Cambio de definición BRIDGED</w:t>
            </w:r>
          </w:p>
        </w:tc>
        <w:tc>
          <w:tcPr>
            <w:tcW w:type="dxa" w:w="5472"/>
            <w:tcMar>
              <w:top w:w="65" w:type="dxa"/>
              <w:start w:w="75" w:type="dxa"/>
              <w:bottom w:w="65" w:type="dxa"/>
              <w:end w:w="75" w:type="dxa"/>
            </w:tcMar>
            <w:vAlign w:val="top"/>
          </w:tcPr>
          <w:p>
            <w:pPr>
              <w:keepLines/>
              <w:spacing w:after="0"/>
            </w:pPr>
            <w:r>
              <w:t>Solo unir con bridge validado.</w:t>
            </w:r>
          </w:p>
        </w:tc>
      </w:tr>
      <w:tr>
        <w:trPr>
          <w:trHeight w:hRule="atLeast"/>
        </w:trPr>
        <w:tc>
          <w:tcPr>
            <w:tcW w:type="dxa" w:w="936"/>
            <w:tcMar>
              <w:top w:w="65" w:type="dxa"/>
              <w:start w:w="75" w:type="dxa"/>
              <w:bottom w:w="65" w:type="dxa"/>
              <w:end w:w="75" w:type="dxa"/>
            </w:tcMar>
            <w:vAlign w:val="top"/>
          </w:tcPr>
          <w:p>
            <w:pPr>
              <w:keepLines/>
              <w:spacing w:after="0"/>
            </w:pPr>
            <w:r>
              <w:t>AC16</w:t>
            </w:r>
          </w:p>
        </w:tc>
        <w:tc>
          <w:tcPr>
            <w:tcW w:type="dxa" w:w="3672"/>
            <w:tcMar>
              <w:top w:w="65" w:type="dxa"/>
              <w:start w:w="75" w:type="dxa"/>
              <w:bottom w:w="65" w:type="dxa"/>
              <w:end w:w="75" w:type="dxa"/>
            </w:tcMar>
            <w:vAlign w:val="top"/>
          </w:tcPr>
          <w:p>
            <w:pPr>
              <w:keepLines/>
              <w:spacing w:after="0"/>
            </w:pPr>
            <w:r>
              <w:t>Cambio de definición NEW_SERIES</w:t>
            </w:r>
          </w:p>
        </w:tc>
        <w:tc>
          <w:tcPr>
            <w:tcW w:type="dxa" w:w="5472"/>
            <w:tcMar>
              <w:top w:w="65" w:type="dxa"/>
              <w:start w:w="75" w:type="dxa"/>
              <w:bottom w:w="65" w:type="dxa"/>
              <w:end w:w="75" w:type="dxa"/>
            </w:tcMar>
            <w:vAlign w:val="top"/>
          </w:tcPr>
          <w:p>
            <w:pPr>
              <w:keepLines/>
              <w:spacing w:after="0"/>
            </w:pPr>
            <w:r>
              <w:t>Romper trayectoria.</w:t>
            </w:r>
          </w:p>
        </w:tc>
      </w:tr>
      <w:tr>
        <w:trPr>
          <w:trHeight w:hRule="atLeast"/>
        </w:trPr>
        <w:tc>
          <w:tcPr>
            <w:tcW w:type="dxa" w:w="936"/>
            <w:tcMar>
              <w:top w:w="65" w:type="dxa"/>
              <w:start w:w="75" w:type="dxa"/>
              <w:bottom w:w="65" w:type="dxa"/>
              <w:end w:w="75" w:type="dxa"/>
            </w:tcMar>
            <w:vAlign w:val="top"/>
          </w:tcPr>
          <w:p>
            <w:pPr>
              <w:keepLines/>
              <w:spacing w:after="0"/>
            </w:pPr>
            <w:r>
              <w:t>AC17</w:t>
            </w:r>
          </w:p>
        </w:tc>
        <w:tc>
          <w:tcPr>
            <w:tcW w:type="dxa" w:w="3672"/>
            <w:tcMar>
              <w:top w:w="65" w:type="dxa"/>
              <w:start w:w="75" w:type="dxa"/>
              <w:bottom w:w="65" w:type="dxa"/>
              <w:end w:w="75" w:type="dxa"/>
            </w:tcMar>
            <w:vAlign w:val="top"/>
          </w:tcPr>
          <w:p>
            <w:pPr>
              <w:keepLines/>
              <w:spacing w:after="0"/>
            </w:pPr>
            <w:r>
              <w:t>Freshness CURRENT</w:t>
            </w:r>
          </w:p>
        </w:tc>
        <w:tc>
          <w:tcPr>
            <w:tcW w:type="dxa" w:w="5472"/>
            <w:tcMar>
              <w:top w:w="65" w:type="dxa"/>
              <w:start w:w="75" w:type="dxa"/>
              <w:bottom w:w="65" w:type="dxa"/>
              <w:end w:w="75" w:type="dxa"/>
            </w:tcMar>
            <w:vAlign w:val="top"/>
          </w:tcPr>
          <w:p>
            <w:pPr>
              <w:keepLines/>
              <w:spacing w:after="0"/>
            </w:pPr>
            <w:r>
              <w:t>Utilizable.</w:t>
            </w:r>
          </w:p>
        </w:tc>
      </w:tr>
      <w:tr>
        <w:trPr>
          <w:trHeight w:hRule="atLeast"/>
        </w:trPr>
        <w:tc>
          <w:tcPr>
            <w:tcW w:type="dxa" w:w="936"/>
            <w:tcMar>
              <w:top w:w="65" w:type="dxa"/>
              <w:start w:w="75" w:type="dxa"/>
              <w:bottom w:w="65" w:type="dxa"/>
              <w:end w:w="75" w:type="dxa"/>
            </w:tcMar>
            <w:vAlign w:val="top"/>
          </w:tcPr>
          <w:p>
            <w:pPr>
              <w:keepLines/>
              <w:spacing w:after="0"/>
            </w:pPr>
            <w:r>
              <w:t>AC18</w:t>
            </w:r>
          </w:p>
        </w:tc>
        <w:tc>
          <w:tcPr>
            <w:tcW w:type="dxa" w:w="3672"/>
            <w:tcMar>
              <w:top w:w="65" w:type="dxa"/>
              <w:start w:w="75" w:type="dxa"/>
              <w:bottom w:w="65" w:type="dxa"/>
              <w:end w:w="75" w:type="dxa"/>
            </w:tcMar>
            <w:vAlign w:val="top"/>
          </w:tcPr>
          <w:p>
            <w:pPr>
              <w:keepLines/>
              <w:spacing w:after="0"/>
            </w:pPr>
            <w:r>
              <w:t>Freshness STALE</w:t>
            </w:r>
          </w:p>
        </w:tc>
        <w:tc>
          <w:tcPr>
            <w:tcW w:type="dxa" w:w="5472"/>
            <w:tcMar>
              <w:top w:w="65" w:type="dxa"/>
              <w:start w:w="75" w:type="dxa"/>
              <w:bottom w:w="65" w:type="dxa"/>
              <w:end w:w="75" w:type="dxa"/>
            </w:tcMar>
            <w:vAlign w:val="top"/>
          </w:tcPr>
          <w:p>
            <w:pPr>
              <w:keepLines/>
              <w:spacing w:after="0"/>
            </w:pPr>
            <w:r>
              <w:t>No usar como evidencia vigente; historia intacta.</w:t>
            </w:r>
          </w:p>
        </w:tc>
      </w:tr>
      <w:tr>
        <w:trPr>
          <w:trHeight w:hRule="atLeast"/>
        </w:trPr>
        <w:tc>
          <w:tcPr>
            <w:tcW w:type="dxa" w:w="936"/>
            <w:tcMar>
              <w:top w:w="65" w:type="dxa"/>
              <w:start w:w="75" w:type="dxa"/>
              <w:bottom w:w="65" w:type="dxa"/>
              <w:end w:w="75" w:type="dxa"/>
            </w:tcMar>
            <w:vAlign w:val="top"/>
          </w:tcPr>
          <w:p>
            <w:pPr>
              <w:keepLines/>
              <w:spacing w:after="0"/>
            </w:pPr>
            <w:r>
              <w:t>AC19</w:t>
            </w:r>
          </w:p>
        </w:tc>
        <w:tc>
          <w:tcPr>
            <w:tcW w:type="dxa" w:w="3672"/>
            <w:tcMar>
              <w:top w:w="65" w:type="dxa"/>
              <w:start w:w="75" w:type="dxa"/>
              <w:bottom w:w="65" w:type="dxa"/>
              <w:end w:w="75" w:type="dxa"/>
            </w:tcMar>
            <w:vAlign w:val="top"/>
          </w:tcPr>
          <w:p>
            <w:pPr>
              <w:keepLines/>
              <w:spacing w:after="0"/>
            </w:pPr>
            <w:r>
              <w:t>Gap &gt; MAX_CONTINUITY_GAP</w:t>
            </w:r>
          </w:p>
        </w:tc>
        <w:tc>
          <w:tcPr>
            <w:tcW w:type="dxa" w:w="5472"/>
            <w:tcMar>
              <w:top w:w="65" w:type="dxa"/>
              <w:start w:w="75" w:type="dxa"/>
              <w:bottom w:w="65" w:type="dxa"/>
              <w:end w:w="75" w:type="dxa"/>
            </w:tcMar>
            <w:vAlign w:val="top"/>
          </w:tcPr>
          <w:p>
            <w:pPr>
              <w:keepLines/>
              <w:spacing w:after="0"/>
            </w:pPr>
            <w:r>
              <w:t>Nuevo D inicia nuevo run.</w:t>
            </w:r>
          </w:p>
        </w:tc>
      </w:tr>
      <w:tr>
        <w:trPr>
          <w:trHeight w:hRule="atLeast"/>
        </w:trPr>
        <w:tc>
          <w:tcPr>
            <w:tcW w:type="dxa" w:w="936"/>
            <w:tcMar>
              <w:top w:w="65" w:type="dxa"/>
              <w:start w:w="75" w:type="dxa"/>
              <w:bottom w:w="65" w:type="dxa"/>
              <w:end w:w="75" w:type="dxa"/>
            </w:tcMar>
            <w:vAlign w:val="top"/>
          </w:tcPr>
          <w:p>
            <w:pPr>
              <w:keepLines/>
              <w:spacing w:after="0"/>
            </w:pPr>
            <w:r>
              <w:t>AC20</w:t>
            </w:r>
          </w:p>
        </w:tc>
        <w:tc>
          <w:tcPr>
            <w:tcW w:type="dxa" w:w="3672"/>
            <w:tcMar>
              <w:top w:w="65" w:type="dxa"/>
              <w:start w:w="75" w:type="dxa"/>
              <w:bottom w:w="65" w:type="dxa"/>
              <w:end w:w="75" w:type="dxa"/>
            </w:tcMar>
            <w:vAlign w:val="top"/>
          </w:tcPr>
          <w:p>
            <w:pPr>
              <w:keepLines/>
              <w:spacing w:after="0"/>
            </w:pPr>
            <w:r>
              <w:t>EVIDENCE_GROUP F+F</w:t>
            </w:r>
          </w:p>
        </w:tc>
        <w:tc>
          <w:tcPr>
            <w:tcW w:type="dxa" w:w="5472"/>
            <w:tcMar>
              <w:top w:w="65" w:type="dxa"/>
              <w:start w:w="75" w:type="dxa"/>
              <w:bottom w:w="65" w:type="dxa"/>
              <w:end w:w="75" w:type="dxa"/>
            </w:tcMar>
            <w:vAlign w:val="top"/>
          </w:tcPr>
          <w:p>
            <w:pPr>
              <w:keepLines/>
              <w:spacing w:after="0"/>
            </w:pPr>
            <w:r>
              <w:t>F.</w:t>
            </w:r>
          </w:p>
        </w:tc>
      </w:tr>
      <w:tr>
        <w:trPr>
          <w:trHeight w:hRule="atLeast"/>
        </w:trPr>
        <w:tc>
          <w:tcPr>
            <w:tcW w:type="dxa" w:w="936"/>
            <w:tcMar>
              <w:top w:w="65" w:type="dxa"/>
              <w:start w:w="75" w:type="dxa"/>
              <w:bottom w:w="65" w:type="dxa"/>
              <w:end w:w="75" w:type="dxa"/>
            </w:tcMar>
            <w:vAlign w:val="top"/>
          </w:tcPr>
          <w:p>
            <w:pPr>
              <w:keepLines/>
              <w:spacing w:after="0"/>
            </w:pPr>
            <w:r>
              <w:t>AC21</w:t>
            </w:r>
          </w:p>
        </w:tc>
        <w:tc>
          <w:tcPr>
            <w:tcW w:type="dxa" w:w="3672"/>
            <w:tcMar>
              <w:top w:w="65" w:type="dxa"/>
              <w:start w:w="75" w:type="dxa"/>
              <w:bottom w:w="65" w:type="dxa"/>
              <w:end w:w="75" w:type="dxa"/>
            </w:tcMar>
            <w:vAlign w:val="top"/>
          </w:tcPr>
          <w:p>
            <w:pPr>
              <w:keepLines/>
              <w:spacing w:after="0"/>
            </w:pPr>
            <w:r>
              <w:t>EVIDENCE_GROUP D+D</w:t>
            </w:r>
          </w:p>
        </w:tc>
        <w:tc>
          <w:tcPr>
            <w:tcW w:type="dxa" w:w="5472"/>
            <w:tcMar>
              <w:top w:w="65" w:type="dxa"/>
              <w:start w:w="75" w:type="dxa"/>
              <w:bottom w:w="65" w:type="dxa"/>
              <w:end w:w="75" w:type="dxa"/>
            </w:tcMar>
            <w:vAlign w:val="top"/>
          </w:tcPr>
          <w:p>
            <w:pPr>
              <w:keepLines/>
              <w:spacing w:after="0"/>
            </w:pPr>
            <w:r>
              <w:t>D.</w:t>
            </w:r>
          </w:p>
        </w:tc>
      </w:tr>
      <w:tr>
        <w:trPr>
          <w:trHeight w:hRule="atLeast"/>
        </w:trPr>
        <w:tc>
          <w:tcPr>
            <w:tcW w:type="dxa" w:w="936"/>
            <w:tcMar>
              <w:top w:w="65" w:type="dxa"/>
              <w:start w:w="75" w:type="dxa"/>
              <w:bottom w:w="65" w:type="dxa"/>
              <w:end w:w="75" w:type="dxa"/>
            </w:tcMar>
            <w:vAlign w:val="top"/>
          </w:tcPr>
          <w:p>
            <w:pPr>
              <w:keepLines/>
              <w:spacing w:after="0"/>
            </w:pPr>
            <w:r>
              <w:t>AC22</w:t>
            </w:r>
          </w:p>
        </w:tc>
        <w:tc>
          <w:tcPr>
            <w:tcW w:type="dxa" w:w="3672"/>
            <w:tcMar>
              <w:top w:w="65" w:type="dxa"/>
              <w:start w:w="75" w:type="dxa"/>
              <w:bottom w:w="65" w:type="dxa"/>
              <w:end w:w="75" w:type="dxa"/>
            </w:tcMar>
            <w:vAlign w:val="top"/>
          </w:tcPr>
          <w:p>
            <w:pPr>
              <w:keepLines/>
              <w:spacing w:after="0"/>
            </w:pPr>
            <w:r>
              <w:t>EVIDENCE_GROUP F+D</w:t>
            </w:r>
          </w:p>
        </w:tc>
        <w:tc>
          <w:tcPr>
            <w:tcW w:type="dxa" w:w="5472"/>
            <w:tcMar>
              <w:top w:w="65" w:type="dxa"/>
              <w:start w:w="75" w:type="dxa"/>
              <w:bottom w:w="65" w:type="dxa"/>
              <w:end w:w="75" w:type="dxa"/>
            </w:tcMar>
            <w:vAlign w:val="top"/>
          </w:tcPr>
          <w:p>
            <w:pPr>
              <w:keepLines/>
              <w:spacing w:after="0"/>
            </w:pPr>
            <w:r>
              <w:t>N_A + INTERNAL_INCONSISTENCY.</w:t>
            </w:r>
          </w:p>
        </w:tc>
      </w:tr>
      <w:tr>
        <w:trPr>
          <w:trHeight w:hRule="atLeast"/>
        </w:trPr>
        <w:tc>
          <w:tcPr>
            <w:tcW w:type="dxa" w:w="936"/>
            <w:tcMar>
              <w:top w:w="65" w:type="dxa"/>
              <w:start w:w="75" w:type="dxa"/>
              <w:bottom w:w="65" w:type="dxa"/>
              <w:end w:w="75" w:type="dxa"/>
            </w:tcMar>
            <w:vAlign w:val="top"/>
          </w:tcPr>
          <w:p>
            <w:pPr>
              <w:keepLines/>
              <w:spacing w:after="0"/>
            </w:pPr>
            <w:r>
              <w:t>AC23</w:t>
            </w:r>
          </w:p>
        </w:tc>
        <w:tc>
          <w:tcPr>
            <w:tcW w:type="dxa" w:w="3672"/>
            <w:tcMar>
              <w:top w:w="65" w:type="dxa"/>
              <w:start w:w="75" w:type="dxa"/>
              <w:bottom w:w="65" w:type="dxa"/>
              <w:end w:w="75" w:type="dxa"/>
            </w:tcMar>
            <w:vAlign w:val="top"/>
          </w:tcPr>
          <w:p>
            <w:pPr>
              <w:keepLines/>
              <w:spacing w:after="0"/>
            </w:pPr>
            <w:r>
              <w:t>DIRECT solo F</w:t>
            </w:r>
          </w:p>
        </w:tc>
        <w:tc>
          <w:tcPr>
            <w:tcW w:type="dxa" w:w="5472"/>
            <w:tcMar>
              <w:top w:w="65" w:type="dxa"/>
              <w:start w:w="75" w:type="dxa"/>
              <w:bottom w:w="65" w:type="dxa"/>
              <w:end w:w="75" w:type="dxa"/>
            </w:tcMar>
            <w:vAlign w:val="top"/>
          </w:tcPr>
          <w:p>
            <w:pPr>
              <w:keepLines/>
              <w:spacing w:after="0"/>
            </w:pPr>
            <w:r>
              <w:t>PHENOMENON F.</w:t>
            </w:r>
          </w:p>
        </w:tc>
      </w:tr>
      <w:tr>
        <w:trPr>
          <w:trHeight w:hRule="atLeast"/>
        </w:trPr>
        <w:tc>
          <w:tcPr>
            <w:tcW w:type="dxa" w:w="936"/>
            <w:tcMar>
              <w:top w:w="65" w:type="dxa"/>
              <w:start w:w="75" w:type="dxa"/>
              <w:bottom w:w="65" w:type="dxa"/>
              <w:end w:w="75" w:type="dxa"/>
            </w:tcMar>
            <w:vAlign w:val="top"/>
          </w:tcPr>
          <w:p>
            <w:pPr>
              <w:keepLines/>
              <w:spacing w:after="0"/>
            </w:pPr>
            <w:r>
              <w:t>AC24</w:t>
            </w:r>
          </w:p>
        </w:tc>
        <w:tc>
          <w:tcPr>
            <w:tcW w:type="dxa" w:w="3672"/>
            <w:tcMar>
              <w:top w:w="65" w:type="dxa"/>
              <w:start w:w="75" w:type="dxa"/>
              <w:bottom w:w="65" w:type="dxa"/>
              <w:end w:w="75" w:type="dxa"/>
            </w:tcMar>
            <w:vAlign w:val="top"/>
          </w:tcPr>
          <w:p>
            <w:pPr>
              <w:keepLines/>
              <w:spacing w:after="0"/>
            </w:pPr>
            <w:r>
              <w:t>DIRECT solo D</w:t>
            </w:r>
          </w:p>
        </w:tc>
        <w:tc>
          <w:tcPr>
            <w:tcW w:type="dxa" w:w="5472"/>
            <w:tcMar>
              <w:top w:w="65" w:type="dxa"/>
              <w:start w:w="75" w:type="dxa"/>
              <w:bottom w:w="65" w:type="dxa"/>
              <w:end w:w="75" w:type="dxa"/>
            </w:tcMar>
            <w:vAlign w:val="top"/>
          </w:tcPr>
          <w:p>
            <w:pPr>
              <w:keepLines/>
              <w:spacing w:after="0"/>
            </w:pPr>
            <w:r>
              <w:t>PHENOMENON D.</w:t>
            </w:r>
          </w:p>
        </w:tc>
      </w:tr>
      <w:tr>
        <w:trPr>
          <w:trHeight w:hRule="atLeast"/>
        </w:trPr>
        <w:tc>
          <w:tcPr>
            <w:tcW w:type="dxa" w:w="936"/>
            <w:tcMar>
              <w:top w:w="65" w:type="dxa"/>
              <w:start w:w="75" w:type="dxa"/>
              <w:bottom w:w="65" w:type="dxa"/>
              <w:end w:w="75" w:type="dxa"/>
            </w:tcMar>
            <w:vAlign w:val="top"/>
          </w:tcPr>
          <w:p>
            <w:pPr>
              <w:keepLines/>
              <w:spacing w:after="0"/>
            </w:pPr>
            <w:r>
              <w:t>AC25</w:t>
            </w:r>
          </w:p>
        </w:tc>
        <w:tc>
          <w:tcPr>
            <w:tcW w:type="dxa" w:w="3672"/>
            <w:tcMar>
              <w:top w:w="65" w:type="dxa"/>
              <w:start w:w="75" w:type="dxa"/>
              <w:bottom w:w="65" w:type="dxa"/>
              <w:end w:w="75" w:type="dxa"/>
            </w:tcMar>
            <w:vAlign w:val="top"/>
          </w:tcPr>
          <w:p>
            <w:pPr>
              <w:keepLines/>
              <w:spacing w:after="0"/>
            </w:pPr>
            <w:r>
              <w:t>DIRECT F+D</w:t>
            </w:r>
          </w:p>
        </w:tc>
        <w:tc>
          <w:tcPr>
            <w:tcW w:type="dxa" w:w="5472"/>
            <w:tcMar>
              <w:top w:w="65" w:type="dxa"/>
              <w:start w:w="75" w:type="dxa"/>
              <w:bottom w:w="65" w:type="dxa"/>
              <w:end w:w="75" w:type="dxa"/>
            </w:tcMar>
            <w:vAlign w:val="top"/>
          </w:tcPr>
          <w:p>
            <w:pPr>
              <w:keepLines/>
              <w:spacing w:after="0"/>
            </w:pPr>
            <w:r>
              <w:t>PHENOMENON I.</w:t>
            </w:r>
          </w:p>
        </w:tc>
      </w:tr>
      <w:tr>
        <w:trPr>
          <w:trHeight w:hRule="atLeast"/>
        </w:trPr>
        <w:tc>
          <w:tcPr>
            <w:tcW w:type="dxa" w:w="936"/>
            <w:tcMar>
              <w:top w:w="65" w:type="dxa"/>
              <w:start w:w="75" w:type="dxa"/>
              <w:bottom w:w="65" w:type="dxa"/>
              <w:end w:w="75" w:type="dxa"/>
            </w:tcMar>
            <w:vAlign w:val="top"/>
          </w:tcPr>
          <w:p>
            <w:pPr>
              <w:keepLines/>
              <w:spacing w:after="0"/>
            </w:pPr>
            <w:r>
              <w:t>AC26</w:t>
            </w:r>
          </w:p>
        </w:tc>
        <w:tc>
          <w:tcPr>
            <w:tcW w:type="dxa" w:w="3672"/>
            <w:tcMar>
              <w:top w:w="65" w:type="dxa"/>
              <w:start w:w="75" w:type="dxa"/>
              <w:bottom w:w="65" w:type="dxa"/>
              <w:end w:w="75" w:type="dxa"/>
            </w:tcMar>
            <w:vAlign w:val="top"/>
          </w:tcPr>
          <w:p>
            <w:pPr>
              <w:keepLines/>
              <w:spacing w:after="0"/>
            </w:pPr>
            <w:r>
              <w:t>DIRECT F + PROXY D</w:t>
            </w:r>
          </w:p>
        </w:tc>
        <w:tc>
          <w:tcPr>
            <w:tcW w:type="dxa" w:w="5472"/>
            <w:tcMar>
              <w:top w:w="65" w:type="dxa"/>
              <w:start w:w="75" w:type="dxa"/>
              <w:bottom w:w="65" w:type="dxa"/>
              <w:end w:w="75" w:type="dxa"/>
            </w:tcMar>
            <w:vAlign w:val="top"/>
          </w:tcPr>
          <w:p>
            <w:pPr>
              <w:keepLines/>
              <w:spacing w:after="0"/>
            </w:pPr>
            <w:r>
              <w:t>DIRECT gobierna; flag si procede.</w:t>
            </w:r>
          </w:p>
        </w:tc>
      </w:tr>
      <w:tr>
        <w:trPr>
          <w:trHeight w:hRule="atLeast"/>
        </w:trPr>
        <w:tc>
          <w:tcPr>
            <w:tcW w:type="dxa" w:w="936"/>
            <w:tcMar>
              <w:top w:w="65" w:type="dxa"/>
              <w:start w:w="75" w:type="dxa"/>
              <w:bottom w:w="65" w:type="dxa"/>
              <w:end w:w="75" w:type="dxa"/>
            </w:tcMar>
            <w:vAlign w:val="top"/>
          </w:tcPr>
          <w:p>
            <w:pPr>
              <w:keepLines/>
              <w:spacing w:after="0"/>
            </w:pPr>
            <w:r>
              <w:t>AC27</w:t>
            </w:r>
          </w:p>
        </w:tc>
        <w:tc>
          <w:tcPr>
            <w:tcW w:type="dxa" w:w="3672"/>
            <w:tcMar>
              <w:top w:w="65" w:type="dxa"/>
              <w:start w:w="75" w:type="dxa"/>
              <w:bottom w:w="65" w:type="dxa"/>
              <w:end w:w="75" w:type="dxa"/>
            </w:tcMar>
            <w:vAlign w:val="top"/>
          </w:tcPr>
          <w:p>
            <w:pPr>
              <w:keepLines/>
              <w:spacing w:after="0"/>
            </w:pPr>
            <w:r>
              <w:t>Sin DIRECT + PROXY autorizado</w:t>
            </w:r>
          </w:p>
        </w:tc>
        <w:tc>
          <w:tcPr>
            <w:tcW w:type="dxa" w:w="5472"/>
            <w:tcMar>
              <w:top w:w="65" w:type="dxa"/>
              <w:start w:w="75" w:type="dxa"/>
              <w:bottom w:w="65" w:type="dxa"/>
              <w:end w:w="75" w:type="dxa"/>
            </w:tcMar>
            <w:vAlign w:val="top"/>
          </w:tcPr>
          <w:p>
            <w:pPr>
              <w:keepLines/>
              <w:spacing w:after="0"/>
            </w:pPr>
            <w:r>
              <w:t>PROXY puede sustentar posición.</w:t>
            </w:r>
          </w:p>
        </w:tc>
      </w:tr>
      <w:tr>
        <w:trPr>
          <w:trHeight w:hRule="atLeast"/>
        </w:trPr>
        <w:tc>
          <w:tcPr>
            <w:tcW w:type="dxa" w:w="936"/>
            <w:tcMar>
              <w:top w:w="65" w:type="dxa"/>
              <w:start w:w="75" w:type="dxa"/>
              <w:bottom w:w="65" w:type="dxa"/>
              <w:end w:w="75" w:type="dxa"/>
            </w:tcMar>
            <w:vAlign w:val="top"/>
          </w:tcPr>
          <w:p>
            <w:pPr>
              <w:keepLines/>
              <w:spacing w:after="0"/>
            </w:pPr>
            <w:r>
              <w:t>AC28</w:t>
            </w:r>
          </w:p>
        </w:tc>
        <w:tc>
          <w:tcPr>
            <w:tcW w:type="dxa" w:w="3672"/>
            <w:tcMar>
              <w:top w:w="65" w:type="dxa"/>
              <w:start w:w="75" w:type="dxa"/>
              <w:bottom w:w="65" w:type="dxa"/>
              <w:end w:w="75" w:type="dxa"/>
            </w:tcMar>
            <w:vAlign w:val="top"/>
          </w:tcPr>
          <w:p>
            <w:pPr>
              <w:keepLines/>
              <w:spacing w:after="0"/>
            </w:pPr>
            <w:r>
              <w:t>Sin DIRECT + PROXY no autorizado</w:t>
            </w:r>
          </w:p>
        </w:tc>
        <w:tc>
          <w:tcPr>
            <w:tcW w:type="dxa" w:w="5472"/>
            <w:tcMar>
              <w:top w:w="65" w:type="dxa"/>
              <w:start w:w="75" w:type="dxa"/>
              <w:bottom w:w="65" w:type="dxa"/>
              <w:end w:w="75" w:type="dxa"/>
            </w:tcMar>
            <w:vAlign w:val="top"/>
          </w:tcPr>
          <w:p>
            <w:pPr>
              <w:keepLines/>
              <w:spacing w:after="0"/>
            </w:pPr>
            <w:r>
              <w:t>N_A/insuficiente.</w:t>
            </w:r>
          </w:p>
        </w:tc>
      </w:tr>
      <w:tr>
        <w:trPr>
          <w:trHeight w:hRule="atLeast"/>
        </w:trPr>
        <w:tc>
          <w:tcPr>
            <w:tcW w:type="dxa" w:w="936"/>
            <w:tcMar>
              <w:top w:w="65" w:type="dxa"/>
              <w:start w:w="75" w:type="dxa"/>
              <w:bottom w:w="65" w:type="dxa"/>
              <w:end w:w="75" w:type="dxa"/>
            </w:tcMar>
            <w:vAlign w:val="top"/>
          </w:tcPr>
          <w:p>
            <w:pPr>
              <w:keepLines/>
              <w:spacing w:after="0"/>
            </w:pPr>
            <w:r>
              <w:t>AC29</w:t>
            </w:r>
          </w:p>
        </w:tc>
        <w:tc>
          <w:tcPr>
            <w:tcW w:type="dxa" w:w="3672"/>
            <w:tcMar>
              <w:top w:w="65" w:type="dxa"/>
              <w:start w:w="75" w:type="dxa"/>
              <w:bottom w:w="65" w:type="dxa"/>
              <w:end w:w="75" w:type="dxa"/>
            </w:tcMar>
            <w:vAlign w:val="top"/>
          </w:tcPr>
          <w:p>
            <w:pPr>
              <w:keepLines/>
              <w:spacing w:after="0"/>
            </w:pPr>
            <w:r>
              <w:t>Señales separadas por lag esperado</w:t>
            </w:r>
          </w:p>
        </w:tc>
        <w:tc>
          <w:tcPr>
            <w:tcW w:type="dxa" w:w="5472"/>
            <w:tcMar>
              <w:top w:w="65" w:type="dxa"/>
              <w:start w:w="75" w:type="dxa"/>
              <w:bottom w:w="65" w:type="dxa"/>
              <w:end w:w="75" w:type="dxa"/>
            </w:tcMar>
            <w:vAlign w:val="top"/>
          </w:tcPr>
          <w:p>
            <w:pPr>
              <w:keepLines/>
              <w:spacing w:after="0"/>
            </w:pPr>
            <w:r>
              <w:t>No contradicción automática.</w:t>
            </w:r>
          </w:p>
        </w:tc>
      </w:tr>
      <w:tr>
        <w:trPr>
          <w:trHeight w:hRule="atLeast"/>
        </w:trPr>
        <w:tc>
          <w:tcPr>
            <w:tcW w:type="dxa" w:w="936"/>
            <w:tcMar>
              <w:top w:w="65" w:type="dxa"/>
              <w:start w:w="75" w:type="dxa"/>
              <w:bottom w:w="65" w:type="dxa"/>
              <w:end w:w="75" w:type="dxa"/>
            </w:tcMar>
            <w:vAlign w:val="top"/>
          </w:tcPr>
          <w:p>
            <w:pPr>
              <w:keepLines/>
              <w:spacing w:after="0"/>
            </w:pPr>
            <w:r>
              <w:t>AC30</w:t>
            </w:r>
          </w:p>
        </w:tc>
        <w:tc>
          <w:tcPr>
            <w:tcW w:type="dxa" w:w="3672"/>
            <w:tcMar>
              <w:top w:w="65" w:type="dxa"/>
              <w:start w:w="75" w:type="dxa"/>
              <w:bottom w:w="65" w:type="dxa"/>
              <w:end w:w="75" w:type="dxa"/>
            </w:tcMar>
            <w:vAlign w:val="top"/>
          </w:tcPr>
          <w:p>
            <w:pPr>
              <w:keepLines/>
              <w:spacing w:after="0"/>
            </w:pPr>
            <w:r>
              <w:t>Fenómeno favorable con required group faltante</w:t>
            </w:r>
          </w:p>
        </w:tc>
        <w:tc>
          <w:tcPr>
            <w:tcW w:type="dxa" w:w="5472"/>
            <w:tcMar>
              <w:top w:w="65" w:type="dxa"/>
              <w:start w:w="75" w:type="dxa"/>
              <w:bottom w:w="65" w:type="dxa"/>
              <w:end w:w="75" w:type="dxa"/>
            </w:tcMar>
            <w:vAlign w:val="top"/>
          </w:tcPr>
          <w:p>
            <w:pPr>
              <w:keepLines/>
              <w:spacing w:after="0"/>
            </w:pPr>
            <w:r>
              <w:t>F observable con cobertura parcial; admisibilidad limitada/insuficiente.</w:t>
            </w:r>
          </w:p>
        </w:tc>
      </w:tr>
      <w:tr>
        <w:trPr>
          <w:trHeight w:hRule="atLeast"/>
        </w:trPr>
        <w:tc>
          <w:tcPr>
            <w:tcW w:type="dxa" w:w="936"/>
            <w:tcMar>
              <w:top w:w="65" w:type="dxa"/>
              <w:start w:w="75" w:type="dxa"/>
              <w:bottom w:w="65" w:type="dxa"/>
              <w:end w:w="75" w:type="dxa"/>
            </w:tcMar>
            <w:vAlign w:val="top"/>
          </w:tcPr>
          <w:p>
            <w:pPr>
              <w:keepLines/>
              <w:spacing w:after="0"/>
            </w:pPr>
            <w:r>
              <w:t>AC31</w:t>
            </w:r>
          </w:p>
        </w:tc>
        <w:tc>
          <w:tcPr>
            <w:tcW w:type="dxa" w:w="3672"/>
            <w:tcMar>
              <w:top w:w="65" w:type="dxa"/>
              <w:start w:w="75" w:type="dxa"/>
              <w:bottom w:w="65" w:type="dxa"/>
              <w:end w:w="75" w:type="dxa"/>
            </w:tcMar>
            <w:vAlign w:val="top"/>
          </w:tcPr>
          <w:p>
            <w:pPr>
              <w:keepLines/>
              <w:spacing w:after="0"/>
            </w:pPr>
            <w:r>
              <w:t>Fenómeno D con cobertura parcial suficiente</w:t>
            </w:r>
          </w:p>
        </w:tc>
        <w:tc>
          <w:tcPr>
            <w:tcW w:type="dxa" w:w="5472"/>
            <w:tcMar>
              <w:top w:w="65" w:type="dxa"/>
              <w:start w:w="75" w:type="dxa"/>
              <w:bottom w:w="65" w:type="dxa"/>
              <w:end w:w="75" w:type="dxa"/>
            </w:tcMar>
            <w:vAlign w:val="top"/>
          </w:tcPr>
          <w:p>
            <w:pPr>
              <w:keepLines/>
              <w:spacing w:after="0"/>
            </w:pPr>
            <w:r>
              <w:t>D puede ser admisible.</w:t>
            </w:r>
          </w:p>
        </w:tc>
      </w:tr>
      <w:tr>
        <w:trPr>
          <w:trHeight w:hRule="atLeast"/>
        </w:trPr>
        <w:tc>
          <w:tcPr>
            <w:tcW w:type="dxa" w:w="936"/>
            <w:tcMar>
              <w:top w:w="65" w:type="dxa"/>
              <w:start w:w="75" w:type="dxa"/>
              <w:bottom w:w="65" w:type="dxa"/>
              <w:end w:w="75" w:type="dxa"/>
            </w:tcMar>
            <w:vAlign w:val="top"/>
          </w:tcPr>
          <w:p>
            <w:pPr>
              <w:keepLines/>
              <w:spacing w:after="0"/>
            </w:pPr>
            <w:r>
              <w:t>AC32</w:t>
            </w:r>
          </w:p>
        </w:tc>
        <w:tc>
          <w:tcPr>
            <w:tcW w:type="dxa" w:w="3672"/>
            <w:tcMar>
              <w:top w:w="65" w:type="dxa"/>
              <w:start w:w="75" w:type="dxa"/>
              <w:bottom w:w="65" w:type="dxa"/>
              <w:end w:w="75" w:type="dxa"/>
            </w:tcMar>
            <w:vAlign w:val="top"/>
          </w:tcPr>
          <w:p>
            <w:pPr>
              <w:keepLines/>
              <w:spacing w:after="0"/>
            </w:pPr>
            <w:r>
              <w:t>Dominio sin CORE utilizable</w:t>
            </w:r>
          </w:p>
        </w:tc>
        <w:tc>
          <w:tcPr>
            <w:tcW w:type="dxa" w:w="5472"/>
            <w:tcMar>
              <w:top w:w="65" w:type="dxa"/>
              <w:start w:w="75" w:type="dxa"/>
              <w:bottom w:w="65" w:type="dxa"/>
              <w:end w:w="75" w:type="dxa"/>
            </w:tcMar>
            <w:vAlign w:val="top"/>
          </w:tcPr>
          <w:p>
            <w:pPr>
              <w:keepLines/>
              <w:spacing w:after="0"/>
            </w:pPr>
            <w:r>
              <w:t>N_A.</w:t>
            </w:r>
          </w:p>
        </w:tc>
      </w:tr>
      <w:tr>
        <w:trPr>
          <w:trHeight w:hRule="atLeast"/>
        </w:trPr>
        <w:tc>
          <w:tcPr>
            <w:tcW w:type="dxa" w:w="936"/>
            <w:tcMar>
              <w:top w:w="65" w:type="dxa"/>
              <w:start w:w="75" w:type="dxa"/>
              <w:bottom w:w="65" w:type="dxa"/>
              <w:end w:w="75" w:type="dxa"/>
            </w:tcMar>
            <w:vAlign w:val="top"/>
          </w:tcPr>
          <w:p>
            <w:pPr>
              <w:keepLines/>
              <w:spacing w:after="0"/>
            </w:pPr>
            <w:r>
              <w:t>AC33</w:t>
            </w:r>
          </w:p>
        </w:tc>
        <w:tc>
          <w:tcPr>
            <w:tcW w:type="dxa" w:w="3672"/>
            <w:tcMar>
              <w:top w:w="65" w:type="dxa"/>
              <w:start w:w="75" w:type="dxa"/>
              <w:bottom w:w="65" w:type="dxa"/>
              <w:end w:w="75" w:type="dxa"/>
            </w:tcMar>
            <w:vAlign w:val="top"/>
          </w:tcPr>
          <w:p>
            <w:pPr>
              <w:keepLines/>
              <w:spacing w:after="0"/>
            </w:pPr>
            <w:r>
              <w:t>CORE F + SUPPORTING D</w:t>
            </w:r>
          </w:p>
        </w:tc>
        <w:tc>
          <w:tcPr>
            <w:tcW w:type="dxa" w:w="5472"/>
            <w:tcMar>
              <w:top w:w="65" w:type="dxa"/>
              <w:start w:w="75" w:type="dxa"/>
              <w:bottom w:w="65" w:type="dxa"/>
              <w:end w:w="75" w:type="dxa"/>
            </w:tcMar>
            <w:vAlign w:val="top"/>
          </w:tcPr>
          <w:p>
            <w:pPr>
              <w:keepLines/>
              <w:spacing w:after="0"/>
            </w:pPr>
            <w:r>
              <w:t>I.</w:t>
            </w:r>
          </w:p>
        </w:tc>
      </w:tr>
      <w:tr>
        <w:trPr>
          <w:trHeight w:hRule="atLeast"/>
        </w:trPr>
        <w:tc>
          <w:tcPr>
            <w:tcW w:type="dxa" w:w="936"/>
            <w:tcMar>
              <w:top w:w="65" w:type="dxa"/>
              <w:start w:w="75" w:type="dxa"/>
              <w:bottom w:w="65" w:type="dxa"/>
              <w:end w:w="75" w:type="dxa"/>
            </w:tcMar>
            <w:vAlign w:val="top"/>
          </w:tcPr>
          <w:p>
            <w:pPr>
              <w:keepLines/>
              <w:spacing w:after="0"/>
            </w:pPr>
            <w:r>
              <w:t>AC34</w:t>
            </w:r>
          </w:p>
        </w:tc>
        <w:tc>
          <w:tcPr>
            <w:tcW w:type="dxa" w:w="3672"/>
            <w:tcMar>
              <w:top w:w="65" w:type="dxa"/>
              <w:start w:w="75" w:type="dxa"/>
              <w:bottom w:w="65" w:type="dxa"/>
              <w:end w:w="75" w:type="dxa"/>
            </w:tcMar>
            <w:vAlign w:val="top"/>
          </w:tcPr>
          <w:p>
            <w:pPr>
              <w:keepLines/>
              <w:spacing w:after="0"/>
            </w:pPr>
            <w:r>
              <w:t>CORE D + SUPPORTING F</w:t>
            </w:r>
          </w:p>
        </w:tc>
        <w:tc>
          <w:tcPr>
            <w:tcW w:type="dxa" w:w="5472"/>
            <w:tcMar>
              <w:top w:w="65" w:type="dxa"/>
              <w:start w:w="75" w:type="dxa"/>
              <w:bottom w:w="65" w:type="dxa"/>
              <w:end w:w="75" w:type="dxa"/>
            </w:tcMar>
            <w:vAlign w:val="top"/>
          </w:tcPr>
          <w:p>
            <w:pPr>
              <w:keepLines/>
              <w:spacing w:after="0"/>
            </w:pPr>
            <w:r>
              <w:t>D.</w:t>
            </w:r>
          </w:p>
        </w:tc>
      </w:tr>
      <w:tr>
        <w:trPr>
          <w:trHeight w:hRule="atLeast"/>
        </w:trPr>
        <w:tc>
          <w:tcPr>
            <w:tcW w:type="dxa" w:w="936"/>
            <w:tcMar>
              <w:top w:w="65" w:type="dxa"/>
              <w:start w:w="75" w:type="dxa"/>
              <w:bottom w:w="65" w:type="dxa"/>
              <w:end w:w="75" w:type="dxa"/>
            </w:tcMar>
            <w:vAlign w:val="top"/>
          </w:tcPr>
          <w:p>
            <w:pPr>
              <w:keepLines/>
              <w:spacing w:after="0"/>
            </w:pPr>
            <w:r>
              <w:t>AC35</w:t>
            </w:r>
          </w:p>
        </w:tc>
        <w:tc>
          <w:tcPr>
            <w:tcW w:type="dxa" w:w="3672"/>
            <w:tcMar>
              <w:top w:w="65" w:type="dxa"/>
              <w:start w:w="75" w:type="dxa"/>
              <w:bottom w:w="65" w:type="dxa"/>
              <w:end w:w="75" w:type="dxa"/>
            </w:tcMar>
            <w:vAlign w:val="top"/>
          </w:tcPr>
          <w:p>
            <w:pPr>
              <w:keepLines/>
              <w:spacing w:after="0"/>
            </w:pPr>
            <w:r>
              <w:t>CORE F+D</w:t>
            </w:r>
          </w:p>
        </w:tc>
        <w:tc>
          <w:tcPr>
            <w:tcW w:type="dxa" w:w="5472"/>
            <w:tcMar>
              <w:top w:w="65" w:type="dxa"/>
              <w:start w:w="75" w:type="dxa"/>
              <w:bottom w:w="65" w:type="dxa"/>
              <w:end w:w="75" w:type="dxa"/>
            </w:tcMar>
            <w:vAlign w:val="top"/>
          </w:tcPr>
          <w:p>
            <w:pPr>
              <w:keepLines/>
              <w:spacing w:after="0"/>
            </w:pPr>
            <w:r>
              <w:t>I.</w:t>
            </w:r>
          </w:p>
        </w:tc>
      </w:tr>
      <w:tr>
        <w:trPr>
          <w:trHeight w:hRule="atLeast"/>
        </w:trPr>
        <w:tc>
          <w:tcPr>
            <w:tcW w:type="dxa" w:w="936"/>
            <w:tcMar>
              <w:top w:w="65" w:type="dxa"/>
              <w:start w:w="75" w:type="dxa"/>
              <w:bottom w:w="65" w:type="dxa"/>
              <w:end w:w="75" w:type="dxa"/>
            </w:tcMar>
            <w:vAlign w:val="top"/>
          </w:tcPr>
          <w:p>
            <w:pPr>
              <w:keepLines/>
              <w:spacing w:after="0"/>
            </w:pPr>
            <w:r>
              <w:t>AC36</w:t>
            </w:r>
          </w:p>
        </w:tc>
        <w:tc>
          <w:tcPr>
            <w:tcW w:type="dxa" w:w="3672"/>
            <w:tcMar>
              <w:top w:w="65" w:type="dxa"/>
              <w:start w:w="75" w:type="dxa"/>
              <w:bottom w:w="65" w:type="dxa"/>
              <w:end w:w="75" w:type="dxa"/>
            </w:tcMar>
            <w:vAlign w:val="top"/>
          </w:tcPr>
          <w:p>
            <w:pPr>
              <w:keepLines/>
              <w:spacing w:after="0"/>
            </w:pPr>
            <w:r>
              <w:t>I por divergencia válida</w:t>
            </w:r>
          </w:p>
        </w:tc>
        <w:tc>
          <w:tcPr>
            <w:tcW w:type="dxa" w:w="5472"/>
            <w:tcMar>
              <w:top w:w="65" w:type="dxa"/>
              <w:start w:w="75" w:type="dxa"/>
              <w:bottom w:w="65" w:type="dxa"/>
              <w:end w:w="75" w:type="dxa"/>
            </w:tcMar>
            <w:vAlign w:val="top"/>
          </w:tcPr>
          <w:p>
            <w:pPr>
              <w:keepLines/>
              <w:spacing w:after="0"/>
            </w:pPr>
            <w:r>
              <w:t>Admisible.</w:t>
            </w:r>
          </w:p>
        </w:tc>
      </w:tr>
      <w:tr>
        <w:trPr>
          <w:trHeight w:hRule="atLeast"/>
        </w:trPr>
        <w:tc>
          <w:tcPr>
            <w:tcW w:type="dxa" w:w="936"/>
            <w:tcMar>
              <w:top w:w="65" w:type="dxa"/>
              <w:start w:w="75" w:type="dxa"/>
              <w:bottom w:w="65" w:type="dxa"/>
              <w:end w:w="75" w:type="dxa"/>
            </w:tcMar>
            <w:vAlign w:val="top"/>
          </w:tcPr>
          <w:p>
            <w:pPr>
              <w:keepLines/>
              <w:spacing w:after="0"/>
            </w:pPr>
            <w:r>
              <w:t>AC37</w:t>
            </w:r>
          </w:p>
        </w:tc>
        <w:tc>
          <w:tcPr>
            <w:tcW w:type="dxa" w:w="3672"/>
            <w:tcMar>
              <w:top w:w="65" w:type="dxa"/>
              <w:start w:w="75" w:type="dxa"/>
              <w:bottom w:w="65" w:type="dxa"/>
              <w:end w:w="75" w:type="dxa"/>
            </w:tcMar>
            <w:vAlign w:val="top"/>
          </w:tcPr>
          <w:p>
            <w:pPr>
              <w:keepLines/>
              <w:spacing w:after="0"/>
            </w:pPr>
            <w:r>
              <w:t>REQUIRED D + OPTIONAL F</w:t>
            </w:r>
          </w:p>
        </w:tc>
        <w:tc>
          <w:tcPr>
            <w:tcW w:type="dxa" w:w="5472"/>
            <w:tcMar>
              <w:top w:w="65" w:type="dxa"/>
              <w:start w:w="75" w:type="dxa"/>
              <w:bottom w:w="65" w:type="dxa"/>
              <w:end w:w="75" w:type="dxa"/>
            </w:tcMar>
            <w:vAlign w:val="top"/>
          </w:tcPr>
          <w:p>
            <w:pPr>
              <w:keepLines/>
              <w:spacing w:after="0"/>
            </w:pPr>
            <w:r>
              <w:t>EFO D.</w:t>
            </w:r>
          </w:p>
        </w:tc>
      </w:tr>
      <w:tr>
        <w:trPr>
          <w:trHeight w:hRule="atLeast"/>
        </w:trPr>
        <w:tc>
          <w:tcPr>
            <w:tcW w:type="dxa" w:w="936"/>
            <w:tcMar>
              <w:top w:w="65" w:type="dxa"/>
              <w:start w:w="75" w:type="dxa"/>
              <w:bottom w:w="65" w:type="dxa"/>
              <w:end w:w="75" w:type="dxa"/>
            </w:tcMar>
            <w:vAlign w:val="top"/>
          </w:tcPr>
          <w:p>
            <w:pPr>
              <w:keepLines/>
              <w:spacing w:after="0"/>
            </w:pPr>
            <w:r>
              <w:t>AC38</w:t>
            </w:r>
          </w:p>
        </w:tc>
        <w:tc>
          <w:tcPr>
            <w:tcW w:type="dxa" w:w="3672"/>
            <w:tcMar>
              <w:top w:w="65" w:type="dxa"/>
              <w:start w:w="75" w:type="dxa"/>
              <w:bottom w:w="65" w:type="dxa"/>
              <w:end w:w="75" w:type="dxa"/>
            </w:tcMar>
            <w:vAlign w:val="top"/>
          </w:tcPr>
          <w:p>
            <w:pPr>
              <w:keepLines/>
              <w:spacing w:after="0"/>
            </w:pPr>
            <w:r>
              <w:t>REQUIRED I sin D</w:t>
            </w:r>
          </w:p>
        </w:tc>
        <w:tc>
          <w:tcPr>
            <w:tcW w:type="dxa" w:w="5472"/>
            <w:tcMar>
              <w:top w:w="65" w:type="dxa"/>
              <w:start w:w="75" w:type="dxa"/>
              <w:bottom w:w="65" w:type="dxa"/>
              <w:end w:w="75" w:type="dxa"/>
            </w:tcMar>
            <w:vAlign w:val="top"/>
          </w:tcPr>
          <w:p>
            <w:pPr>
              <w:keepLines/>
              <w:spacing w:after="0"/>
            </w:pPr>
            <w:r>
              <w:t>EFO I.</w:t>
            </w:r>
          </w:p>
        </w:tc>
      </w:tr>
      <w:tr>
        <w:trPr>
          <w:trHeight w:hRule="atLeast"/>
        </w:trPr>
        <w:tc>
          <w:tcPr>
            <w:tcW w:type="dxa" w:w="936"/>
            <w:tcMar>
              <w:top w:w="65" w:type="dxa"/>
              <w:start w:w="75" w:type="dxa"/>
              <w:bottom w:w="65" w:type="dxa"/>
              <w:end w:w="75" w:type="dxa"/>
            </w:tcMar>
            <w:vAlign w:val="top"/>
          </w:tcPr>
          <w:p>
            <w:pPr>
              <w:keepLines/>
              <w:spacing w:after="0"/>
            </w:pPr>
            <w:r>
              <w:t>AC39</w:t>
            </w:r>
          </w:p>
        </w:tc>
        <w:tc>
          <w:tcPr>
            <w:tcW w:type="dxa" w:w="3672"/>
            <w:tcMar>
              <w:top w:w="65" w:type="dxa"/>
              <w:start w:w="75" w:type="dxa"/>
              <w:bottom w:w="65" w:type="dxa"/>
              <w:end w:w="75" w:type="dxa"/>
            </w:tcMar>
            <w:vAlign w:val="top"/>
          </w:tcPr>
          <w:p>
            <w:pPr>
              <w:keepLines/>
              <w:spacing w:after="0"/>
            </w:pPr>
            <w:r>
              <w:t>Todos REQUIRED F, OPTIONAL D</w:t>
            </w:r>
          </w:p>
        </w:tc>
        <w:tc>
          <w:tcPr>
            <w:tcW w:type="dxa" w:w="5472"/>
            <w:tcMar>
              <w:top w:w="65" w:type="dxa"/>
              <w:start w:w="75" w:type="dxa"/>
              <w:bottom w:w="65" w:type="dxa"/>
              <w:end w:w="75" w:type="dxa"/>
            </w:tcMar>
            <w:vAlign w:val="top"/>
          </w:tcPr>
          <w:p>
            <w:pPr>
              <w:keepLines/>
              <w:spacing w:after="0"/>
            </w:pPr>
            <w:r>
              <w:t>EFO I + deterioration_present=true.</w:t>
            </w:r>
          </w:p>
        </w:tc>
      </w:tr>
      <w:tr>
        <w:trPr>
          <w:trHeight w:hRule="atLeast"/>
        </w:trPr>
        <w:tc>
          <w:tcPr>
            <w:tcW w:type="dxa" w:w="936"/>
            <w:tcMar>
              <w:top w:w="65" w:type="dxa"/>
              <w:start w:w="75" w:type="dxa"/>
              <w:bottom w:w="65" w:type="dxa"/>
              <w:end w:w="75" w:type="dxa"/>
            </w:tcMar>
            <w:vAlign w:val="top"/>
          </w:tcPr>
          <w:p>
            <w:pPr>
              <w:keepLines/>
              <w:spacing w:after="0"/>
            </w:pPr>
            <w:r>
              <w:t>AC40</w:t>
            </w:r>
          </w:p>
        </w:tc>
        <w:tc>
          <w:tcPr>
            <w:tcW w:type="dxa" w:w="3672"/>
            <w:tcMar>
              <w:top w:w="65" w:type="dxa"/>
              <w:start w:w="75" w:type="dxa"/>
              <w:bottom w:w="65" w:type="dxa"/>
              <w:end w:w="75" w:type="dxa"/>
            </w:tcMar>
            <w:vAlign w:val="top"/>
          </w:tcPr>
          <w:p>
            <w:pPr>
              <w:keepLines/>
              <w:spacing w:after="0"/>
            </w:pPr>
            <w:r>
              <w:t>Todos REQUIRED F, sin OPTIONAL D</w:t>
            </w:r>
          </w:p>
        </w:tc>
        <w:tc>
          <w:tcPr>
            <w:tcW w:type="dxa" w:w="5472"/>
            <w:tcMar>
              <w:top w:w="65" w:type="dxa"/>
              <w:start w:w="75" w:type="dxa"/>
              <w:bottom w:w="65" w:type="dxa"/>
              <w:end w:w="75" w:type="dxa"/>
            </w:tcMar>
            <w:vAlign w:val="top"/>
          </w:tcPr>
          <w:p>
            <w:pPr>
              <w:keepLines/>
              <w:spacing w:after="0"/>
            </w:pPr>
            <w:r>
              <w:t>EFO F si cobertura suficiente.</w:t>
            </w:r>
          </w:p>
        </w:tc>
      </w:tr>
      <w:tr>
        <w:trPr>
          <w:trHeight w:hRule="atLeast"/>
        </w:trPr>
        <w:tc>
          <w:tcPr>
            <w:tcW w:type="dxa" w:w="936"/>
            <w:tcMar>
              <w:top w:w="65" w:type="dxa"/>
              <w:start w:w="75" w:type="dxa"/>
              <w:bottom w:w="65" w:type="dxa"/>
              <w:end w:w="75" w:type="dxa"/>
            </w:tcMar>
            <w:vAlign w:val="top"/>
          </w:tcPr>
          <w:p>
            <w:pPr>
              <w:keepLines/>
              <w:spacing w:after="0"/>
            </w:pPr>
            <w:r>
              <w:t>AC41</w:t>
            </w:r>
          </w:p>
        </w:tc>
        <w:tc>
          <w:tcPr>
            <w:tcW w:type="dxa" w:w="3672"/>
            <w:tcMar>
              <w:top w:w="65" w:type="dxa"/>
              <w:start w:w="75" w:type="dxa"/>
              <w:bottom w:w="65" w:type="dxa"/>
              <w:end w:w="75" w:type="dxa"/>
            </w:tcMar>
            <w:vAlign w:val="top"/>
          </w:tcPr>
          <w:p>
            <w:pPr>
              <w:keepLines/>
              <w:spacing w:after="0"/>
            </w:pPr>
            <w:r>
              <w:t>Sin REQUIRED clasificable, OPTIONAL F</w:t>
            </w:r>
          </w:p>
        </w:tc>
        <w:tc>
          <w:tcPr>
            <w:tcW w:type="dxa" w:w="5472"/>
            <w:tcMar>
              <w:top w:w="65" w:type="dxa"/>
              <w:start w:w="75" w:type="dxa"/>
              <w:bottom w:w="65" w:type="dxa"/>
              <w:end w:w="75" w:type="dxa"/>
            </w:tcMar>
            <w:vAlign w:val="top"/>
          </w:tcPr>
          <w:p>
            <w:pPr>
              <w:keepLines/>
              <w:spacing w:after="0"/>
            </w:pPr>
            <w:r>
              <w:t>EFO N_A.</w:t>
            </w:r>
          </w:p>
        </w:tc>
      </w:tr>
      <w:tr>
        <w:trPr>
          <w:trHeight w:hRule="atLeast"/>
        </w:trPr>
        <w:tc>
          <w:tcPr>
            <w:tcW w:type="dxa" w:w="936"/>
            <w:tcMar>
              <w:top w:w="65" w:type="dxa"/>
              <w:start w:w="75" w:type="dxa"/>
              <w:bottom w:w="65" w:type="dxa"/>
              <w:end w:w="75" w:type="dxa"/>
            </w:tcMar>
            <w:vAlign w:val="top"/>
          </w:tcPr>
          <w:p>
            <w:pPr>
              <w:keepLines/>
              <w:spacing w:after="0"/>
            </w:pPr>
            <w:r>
              <w:t>AC42</w:t>
            </w:r>
          </w:p>
        </w:tc>
        <w:tc>
          <w:tcPr>
            <w:tcW w:type="dxa" w:w="3672"/>
            <w:tcMar>
              <w:top w:w="65" w:type="dxa"/>
              <w:start w:w="75" w:type="dxa"/>
              <w:bottom w:w="65" w:type="dxa"/>
              <w:end w:w="75" w:type="dxa"/>
            </w:tcMar>
            <w:vAlign w:val="top"/>
          </w:tcPr>
          <w:p>
            <w:pPr>
              <w:keepLines/>
              <w:spacing w:after="0"/>
            </w:pPr>
            <w:r>
              <w:t>Sin REQUIRED clasificable, OPTIONAL D</w:t>
            </w:r>
          </w:p>
        </w:tc>
        <w:tc>
          <w:tcPr>
            <w:tcW w:type="dxa" w:w="5472"/>
            <w:tcMar>
              <w:top w:w="65" w:type="dxa"/>
              <w:start w:w="75" w:type="dxa"/>
              <w:bottom w:w="65" w:type="dxa"/>
              <w:end w:w="75" w:type="dxa"/>
            </w:tcMar>
            <w:vAlign w:val="top"/>
          </w:tcPr>
          <w:p>
            <w:pPr>
              <w:keepLines/>
              <w:spacing w:after="0"/>
            </w:pPr>
            <w:r>
              <w:t>EFO N_A + deterioration_present=true.</w:t>
            </w:r>
          </w:p>
        </w:tc>
      </w:tr>
      <w:tr>
        <w:trPr>
          <w:trHeight w:hRule="atLeast"/>
        </w:trPr>
        <w:tc>
          <w:tcPr>
            <w:tcW w:type="dxa" w:w="936"/>
            <w:tcMar>
              <w:top w:w="65" w:type="dxa"/>
              <w:start w:w="75" w:type="dxa"/>
              <w:bottom w:w="65" w:type="dxa"/>
              <w:end w:w="75" w:type="dxa"/>
            </w:tcMar>
            <w:vAlign w:val="top"/>
          </w:tcPr>
          <w:p>
            <w:pPr>
              <w:keepLines/>
              <w:spacing w:after="0"/>
            </w:pPr>
            <w:r>
              <w:t>AC43</w:t>
            </w:r>
          </w:p>
        </w:tc>
        <w:tc>
          <w:tcPr>
            <w:tcW w:type="dxa" w:w="3672"/>
            <w:tcMar>
              <w:top w:w="65" w:type="dxa"/>
              <w:start w:w="75" w:type="dxa"/>
              <w:bottom w:w="65" w:type="dxa"/>
              <w:end w:w="75" w:type="dxa"/>
            </w:tcMar>
            <w:vAlign w:val="top"/>
          </w:tcPr>
          <w:p>
            <w:pPr>
              <w:keepLines/>
              <w:spacing w:after="0"/>
            </w:pPr>
            <w:r>
              <w:t>EFO D,D,D con locus distinto</w:t>
            </w:r>
          </w:p>
        </w:tc>
        <w:tc>
          <w:tcPr>
            <w:tcW w:type="dxa" w:w="5472"/>
            <w:tcMar>
              <w:top w:w="65" w:type="dxa"/>
              <w:start w:w="75" w:type="dxa"/>
              <w:bottom w:w="65" w:type="dxa"/>
              <w:end w:w="75" w:type="dxa"/>
            </w:tcMar>
            <w:vAlign w:val="top"/>
          </w:tcPr>
          <w:p>
            <w:pPr>
              <w:keepLines/>
              <w:spacing w:after="0"/>
            </w:pPr>
            <w:r>
              <w:t>pers=PERSISTENT según regla; no afirmar mismo problema.</w:t>
            </w:r>
          </w:p>
        </w:tc>
      </w:tr>
      <w:tr>
        <w:trPr>
          <w:trHeight w:hRule="atLeast"/>
        </w:trPr>
        <w:tc>
          <w:tcPr>
            <w:tcW w:type="dxa" w:w="936"/>
            <w:tcMar>
              <w:top w:w="65" w:type="dxa"/>
              <w:start w:w="75" w:type="dxa"/>
              <w:bottom w:w="65" w:type="dxa"/>
              <w:end w:w="75" w:type="dxa"/>
            </w:tcMar>
            <w:vAlign w:val="top"/>
          </w:tcPr>
          <w:p>
            <w:pPr>
              <w:keepLines/>
              <w:spacing w:after="0"/>
            </w:pPr>
            <w:r>
              <w:t>AC44</w:t>
            </w:r>
          </w:p>
        </w:tc>
        <w:tc>
          <w:tcPr>
            <w:tcW w:type="dxa" w:w="3672"/>
            <w:tcMar>
              <w:top w:w="65" w:type="dxa"/>
              <w:start w:w="75" w:type="dxa"/>
              <w:bottom w:w="65" w:type="dxa"/>
              <w:end w:w="75" w:type="dxa"/>
            </w:tcMar>
            <w:vAlign w:val="top"/>
          </w:tcPr>
          <w:p>
            <w:pPr>
              <w:keepLines/>
              <w:spacing w:after="0"/>
            </w:pPr>
            <w:r>
              <w:t>EFO D constante con menos dominios D</w:t>
            </w:r>
          </w:p>
        </w:tc>
        <w:tc>
          <w:tcPr>
            <w:tcW w:type="dxa" w:w="5472"/>
            <w:tcMar>
              <w:top w:w="65" w:type="dxa"/>
              <w:start w:w="75" w:type="dxa"/>
              <w:bottom w:w="65" w:type="dxa"/>
              <w:end w:w="75" w:type="dxa"/>
            </w:tcMar>
            <w:vAlign w:val="top"/>
          </w:tcPr>
          <w:p>
            <w:pPr>
              <w:keepLines/>
              <w:spacing w:after="0"/>
            </w:pPr>
            <w:r>
              <w:t>traj puede IMPROVING.</w:t>
            </w:r>
          </w:p>
        </w:tc>
      </w:tr>
      <w:tr>
        <w:trPr>
          <w:trHeight w:hRule="atLeast"/>
        </w:trPr>
        <w:tc>
          <w:tcPr>
            <w:tcW w:type="dxa" w:w="936"/>
            <w:tcMar>
              <w:top w:w="65" w:type="dxa"/>
              <w:start w:w="75" w:type="dxa"/>
              <w:bottom w:w="65" w:type="dxa"/>
              <w:end w:w="75" w:type="dxa"/>
            </w:tcMar>
            <w:vAlign w:val="top"/>
          </w:tcPr>
          <w:p>
            <w:pPr>
              <w:keepLines/>
              <w:spacing w:after="0"/>
            </w:pPr>
            <w:r>
              <w:t>AC45</w:t>
            </w:r>
          </w:p>
        </w:tc>
        <w:tc>
          <w:tcPr>
            <w:tcW w:type="dxa" w:w="3672"/>
            <w:tcMar>
              <w:top w:w="65" w:type="dxa"/>
              <w:start w:w="75" w:type="dxa"/>
              <w:bottom w:w="65" w:type="dxa"/>
              <w:end w:w="75" w:type="dxa"/>
            </w:tcMar>
            <w:vAlign w:val="top"/>
          </w:tcPr>
          <w:p>
            <w:pPr>
              <w:keepLines/>
              <w:spacing w:after="0"/>
            </w:pPr>
            <w:r>
              <w:t>EFO D constante con nuevos dominios D</w:t>
            </w:r>
          </w:p>
        </w:tc>
        <w:tc>
          <w:tcPr>
            <w:tcW w:type="dxa" w:w="5472"/>
            <w:tcMar>
              <w:top w:w="65" w:type="dxa"/>
              <w:start w:w="75" w:type="dxa"/>
              <w:bottom w:w="65" w:type="dxa"/>
              <w:end w:w="75" w:type="dxa"/>
            </w:tcMar>
            <w:vAlign w:val="top"/>
          </w:tcPr>
          <w:p>
            <w:pPr>
              <w:keepLines/>
              <w:spacing w:after="0"/>
            </w:pPr>
            <w:r>
              <w:t>traj puede DETERIORATING.</w:t>
            </w:r>
          </w:p>
        </w:tc>
      </w:tr>
      <w:tr>
        <w:trPr>
          <w:trHeight w:hRule="atLeast"/>
        </w:trPr>
        <w:tc>
          <w:tcPr>
            <w:tcW w:type="dxa" w:w="936"/>
            <w:tcMar>
              <w:top w:w="65" w:type="dxa"/>
              <w:start w:w="75" w:type="dxa"/>
              <w:bottom w:w="65" w:type="dxa"/>
              <w:end w:w="75" w:type="dxa"/>
            </w:tcMar>
            <w:vAlign w:val="top"/>
          </w:tcPr>
          <w:p>
            <w:pPr>
              <w:keepLines/>
              <w:spacing w:after="0"/>
            </w:pPr>
            <w:r>
              <w:t>AC46</w:t>
            </w:r>
          </w:p>
        </w:tc>
        <w:tc>
          <w:tcPr>
            <w:tcW w:type="dxa" w:w="3672"/>
            <w:tcMar>
              <w:top w:w="65" w:type="dxa"/>
              <w:start w:w="75" w:type="dxa"/>
              <w:bottom w:w="65" w:type="dxa"/>
              <w:end w:w="75" w:type="dxa"/>
            </w:tcMar>
            <w:vAlign w:val="top"/>
          </w:tcPr>
          <w:p>
            <w:pPr>
              <w:keepLines/>
              <w:spacing w:after="0"/>
            </w:pPr>
            <w:r>
              <w:t>Pérdida de evidencia hace desaparecer D</w:t>
            </w:r>
          </w:p>
        </w:tc>
        <w:tc>
          <w:tcPr>
            <w:tcW w:type="dxa" w:w="5472"/>
            <w:tcMar>
              <w:top w:w="65" w:type="dxa"/>
              <w:start w:w="75" w:type="dxa"/>
              <w:bottom w:w="65" w:type="dxa"/>
              <w:end w:w="75" w:type="dxa"/>
            </w:tcMar>
            <w:vAlign w:val="top"/>
          </w:tcPr>
          <w:p>
            <w:pPr>
              <w:keepLines/>
              <w:spacing w:after="0"/>
            </w:pPr>
            <w:r>
              <w:t>No declarar IMPROVING.</w:t>
            </w:r>
          </w:p>
        </w:tc>
      </w:tr>
      <w:tr>
        <w:trPr>
          <w:trHeight w:hRule="atLeast"/>
        </w:trPr>
        <w:tc>
          <w:tcPr>
            <w:tcW w:type="dxa" w:w="936"/>
            <w:tcMar>
              <w:top w:w="65" w:type="dxa"/>
              <w:start w:w="75" w:type="dxa"/>
              <w:bottom w:w="65" w:type="dxa"/>
              <w:end w:w="75" w:type="dxa"/>
            </w:tcMar>
            <w:vAlign w:val="top"/>
          </w:tcPr>
          <w:p>
            <w:pPr>
              <w:keepLines/>
              <w:spacing w:after="0"/>
            </w:pPr>
            <w:r>
              <w:t>AC47</w:t>
            </w:r>
          </w:p>
        </w:tc>
        <w:tc>
          <w:tcPr>
            <w:tcW w:type="dxa" w:w="3672"/>
            <w:tcMar>
              <w:top w:w="65" w:type="dxa"/>
              <w:start w:w="75" w:type="dxa"/>
              <w:bottom w:w="65" w:type="dxa"/>
              <w:end w:w="75" w:type="dxa"/>
            </w:tcMar>
            <w:vAlign w:val="top"/>
          </w:tcPr>
          <w:p>
            <w:pPr>
              <w:keepLines/>
              <w:spacing w:after="0"/>
            </w:pPr>
            <w:r>
              <w:t>Nodo SEGMENT_ONLY D</w:t>
            </w:r>
          </w:p>
        </w:tc>
        <w:tc>
          <w:tcPr>
            <w:tcW w:type="dxa" w:w="5472"/>
            <w:tcMar>
              <w:top w:w="65" w:type="dxa"/>
              <w:start w:w="75" w:type="dxa"/>
              <w:bottom w:w="65" w:type="dxa"/>
              <w:end w:w="75" w:type="dxa"/>
            </w:tcMar>
            <w:vAlign w:val="top"/>
          </w:tcPr>
          <w:p>
            <w:pPr>
              <w:keepLines/>
              <w:spacing w:after="0"/>
            </w:pPr>
            <w:r>
              <w:t>No eleva por sí solo EFO organizacional.</w:t>
            </w:r>
          </w:p>
        </w:tc>
      </w:tr>
      <w:tr>
        <w:trPr>
          <w:trHeight w:hRule="atLeast"/>
        </w:trPr>
        <w:tc>
          <w:tcPr>
            <w:tcW w:type="dxa" w:w="936"/>
            <w:tcMar>
              <w:top w:w="65" w:type="dxa"/>
              <w:start w:w="75" w:type="dxa"/>
              <w:bottom w:w="65" w:type="dxa"/>
              <w:end w:w="75" w:type="dxa"/>
            </w:tcMar>
            <w:vAlign w:val="top"/>
          </w:tcPr>
          <w:p>
            <w:pPr>
              <w:keepLines/>
              <w:spacing w:after="0"/>
            </w:pPr>
            <w:r>
              <w:t>AC48</w:t>
            </w:r>
          </w:p>
        </w:tc>
        <w:tc>
          <w:tcPr>
            <w:tcW w:type="dxa" w:w="3672"/>
            <w:tcMar>
              <w:top w:w="65" w:type="dxa"/>
              <w:start w:w="75" w:type="dxa"/>
              <w:bottom w:w="65" w:type="dxa"/>
              <w:end w:w="75" w:type="dxa"/>
            </w:tcMar>
            <w:vAlign w:val="top"/>
          </w:tcPr>
          <w:p>
            <w:pPr>
              <w:keepLines/>
              <w:spacing w:after="0"/>
            </w:pPr>
            <w:r>
              <w:t>Nodos polarizados</w:t>
            </w:r>
          </w:p>
        </w:tc>
        <w:tc>
          <w:tcPr>
            <w:tcW w:type="dxa" w:w="5472"/>
            <w:tcMar>
              <w:top w:w="65" w:type="dxa"/>
              <w:start w:w="75" w:type="dxa"/>
              <w:bottom w:w="65" w:type="dxa"/>
              <w:end w:w="75" w:type="dxa"/>
            </w:tcMar>
            <w:vAlign w:val="top"/>
          </w:tcPr>
          <w:p>
            <w:pPr>
              <w:keepLines/>
              <w:spacing w:after="0"/>
            </w:pPr>
            <w:r>
              <w:t>Preservar node_profile; AIE decide polarización.</w:t>
            </w:r>
          </w:p>
        </w:tc>
      </w:tr>
      <w:tr>
        <w:trPr>
          <w:trHeight w:hRule="atLeast"/>
        </w:trPr>
        <w:tc>
          <w:tcPr>
            <w:tcW w:type="dxa" w:w="936"/>
            <w:tcMar>
              <w:top w:w="65" w:type="dxa"/>
              <w:start w:w="75" w:type="dxa"/>
              <w:bottom w:w="65" w:type="dxa"/>
              <w:end w:w="75" w:type="dxa"/>
            </w:tcMar>
            <w:vAlign w:val="top"/>
          </w:tcPr>
          <w:p>
            <w:pPr>
              <w:keepLines/>
              <w:spacing w:after="0"/>
            </w:pPr>
            <w:r>
              <w:t>AC49</w:t>
            </w:r>
          </w:p>
        </w:tc>
        <w:tc>
          <w:tcPr>
            <w:tcW w:type="dxa" w:w="3672"/>
            <w:tcMar>
              <w:top w:w="65" w:type="dxa"/>
              <w:start w:w="75" w:type="dxa"/>
              <w:bottom w:w="65" w:type="dxa"/>
              <w:end w:w="75" w:type="dxa"/>
            </w:tcMar>
            <w:vAlign w:val="top"/>
          </w:tcPr>
          <w:p>
            <w:pPr>
              <w:keepLines/>
              <w:spacing w:after="0"/>
            </w:pPr>
            <w:r>
              <w:t>Padre + hijos</w:t>
            </w:r>
          </w:p>
        </w:tc>
        <w:tc>
          <w:tcPr>
            <w:tcW w:type="dxa" w:w="5472"/>
            <w:tcMar>
              <w:top w:w="65" w:type="dxa"/>
              <w:start w:w="75" w:type="dxa"/>
              <w:bottom w:w="65" w:type="dxa"/>
              <w:end w:w="75" w:type="dxa"/>
            </w:tcMar>
            <w:vAlign w:val="top"/>
          </w:tcPr>
          <w:p>
            <w:pPr>
              <w:keepLines/>
              <w:spacing w:after="0"/>
            </w:pPr>
            <w:r>
              <w:t>Bloquear doble agregación.</w:t>
            </w:r>
          </w:p>
        </w:tc>
      </w:tr>
      <w:tr>
        <w:trPr>
          <w:trHeight w:hRule="atLeast"/>
        </w:trPr>
        <w:tc>
          <w:tcPr>
            <w:tcW w:type="dxa" w:w="936"/>
            <w:tcMar>
              <w:top w:w="65" w:type="dxa"/>
              <w:start w:w="75" w:type="dxa"/>
              <w:bottom w:w="65" w:type="dxa"/>
              <w:end w:w="75" w:type="dxa"/>
            </w:tcMar>
            <w:vAlign w:val="top"/>
          </w:tcPr>
          <w:p>
            <w:pPr>
              <w:keepLines/>
              <w:spacing w:after="0"/>
            </w:pPr>
            <w:r>
              <w:t>AC50</w:t>
            </w:r>
          </w:p>
        </w:tc>
        <w:tc>
          <w:tcPr>
            <w:tcW w:type="dxa" w:w="3672"/>
            <w:tcMar>
              <w:top w:w="65" w:type="dxa"/>
              <w:start w:w="75" w:type="dxa"/>
              <w:bottom w:w="65" w:type="dxa"/>
              <w:end w:w="75" w:type="dxa"/>
            </w:tcMar>
            <w:vAlign w:val="top"/>
          </w:tcPr>
          <w:p>
            <w:pPr>
              <w:keepLines/>
              <w:spacing w:after="0"/>
            </w:pPr>
            <w:r>
              <w:t>COUNT en nodos mutuamente excluyentes</w:t>
            </w:r>
          </w:p>
        </w:tc>
        <w:tc>
          <w:tcPr>
            <w:tcW w:type="dxa" w:w="5472"/>
            <w:tcMar>
              <w:top w:w="65" w:type="dxa"/>
              <w:start w:w="75" w:type="dxa"/>
              <w:bottom w:w="65" w:type="dxa"/>
              <w:end w:w="75" w:type="dxa"/>
            </w:tcMar>
            <w:vAlign w:val="top"/>
          </w:tcPr>
          <w:p>
            <w:pPr>
              <w:keepLines/>
              <w:spacing w:after="0"/>
            </w:pPr>
            <w:r>
              <w:t>Suma válida.</w:t>
            </w:r>
          </w:p>
        </w:tc>
      </w:tr>
      <w:tr>
        <w:trPr>
          <w:trHeight w:hRule="atLeast"/>
        </w:trPr>
        <w:tc>
          <w:tcPr>
            <w:tcW w:type="dxa" w:w="936"/>
            <w:tcMar>
              <w:top w:w="65" w:type="dxa"/>
              <w:start w:w="75" w:type="dxa"/>
              <w:bottom w:w="65" w:type="dxa"/>
              <w:end w:w="75" w:type="dxa"/>
            </w:tcMar>
            <w:vAlign w:val="top"/>
          </w:tcPr>
          <w:p>
            <w:pPr>
              <w:keepLines/>
              <w:spacing w:after="0"/>
            </w:pPr>
            <w:r>
              <w:t>AC51</w:t>
            </w:r>
          </w:p>
        </w:tc>
        <w:tc>
          <w:tcPr>
            <w:tcW w:type="dxa" w:w="3672"/>
            <w:tcMar>
              <w:top w:w="65" w:type="dxa"/>
              <w:start w:w="75" w:type="dxa"/>
              <w:bottom w:w="65" w:type="dxa"/>
              <w:end w:w="75" w:type="dxa"/>
            </w:tcMar>
            <w:vAlign w:val="top"/>
          </w:tcPr>
          <w:p>
            <w:pPr>
              <w:keepLines/>
              <w:spacing w:after="0"/>
            </w:pPr>
            <w:r>
              <w:t>RATE con exposiciones distintas</w:t>
            </w:r>
          </w:p>
        </w:tc>
        <w:tc>
          <w:tcPr>
            <w:tcW w:type="dxa" w:w="5472"/>
            <w:tcMar>
              <w:top w:w="65" w:type="dxa"/>
              <w:start w:w="75" w:type="dxa"/>
              <w:bottom w:w="65" w:type="dxa"/>
              <w:end w:w="75" w:type="dxa"/>
            </w:tcMar>
            <w:vAlign w:val="top"/>
          </w:tcPr>
          <w:p>
            <w:pPr>
              <w:keepLines/>
              <w:spacing w:after="0"/>
            </w:pPr>
            <w:r>
              <w:t>Recalcular desde numerador/denominador; no promedio simple.</w:t>
            </w:r>
          </w:p>
        </w:tc>
      </w:tr>
      <w:tr>
        <w:trPr>
          <w:trHeight w:hRule="atLeast"/>
        </w:trPr>
        <w:tc>
          <w:tcPr>
            <w:tcW w:type="dxa" w:w="936"/>
            <w:tcMar>
              <w:top w:w="65" w:type="dxa"/>
              <w:start w:w="75" w:type="dxa"/>
              <w:bottom w:w="65" w:type="dxa"/>
              <w:end w:w="75" w:type="dxa"/>
            </w:tcMar>
            <w:vAlign w:val="top"/>
          </w:tcPr>
          <w:p>
            <w:pPr>
              <w:keepLines/>
              <w:spacing w:after="0"/>
            </w:pPr>
            <w:r>
              <w:t>AC52</w:t>
            </w:r>
          </w:p>
        </w:tc>
        <w:tc>
          <w:tcPr>
            <w:tcW w:type="dxa" w:w="3672"/>
            <w:tcMar>
              <w:top w:w="65" w:type="dxa"/>
              <w:start w:w="75" w:type="dxa"/>
              <w:bottom w:w="65" w:type="dxa"/>
              <w:end w:w="75" w:type="dxa"/>
            </w:tcMar>
            <w:vAlign w:val="top"/>
          </w:tcPr>
          <w:p>
            <w:pPr>
              <w:keepLines/>
              <w:spacing w:after="0"/>
            </w:pPr>
            <w:r>
              <w:t>RATE mensual vs anual</w:t>
            </w:r>
          </w:p>
        </w:tc>
        <w:tc>
          <w:tcPr>
            <w:tcW w:type="dxa" w:w="5472"/>
            <w:tcMar>
              <w:top w:w="65" w:type="dxa"/>
              <w:start w:w="75" w:type="dxa"/>
              <w:bottom w:w="65" w:type="dxa"/>
              <w:end w:w="75" w:type="dxa"/>
            </w:tcMar>
            <w:vAlign w:val="top"/>
          </w:tcPr>
          <w:p>
            <w:pPr>
              <w:keepLines/>
              <w:spacing w:after="0"/>
            </w:pPr>
            <w:r>
              <w:t>No comparar sin transformación válida.</w:t>
            </w:r>
          </w:p>
        </w:tc>
      </w:tr>
      <w:tr>
        <w:trPr>
          <w:trHeight w:hRule="atLeast"/>
        </w:trPr>
        <w:tc>
          <w:tcPr>
            <w:tcW w:type="dxa" w:w="936"/>
            <w:tcMar>
              <w:top w:w="65" w:type="dxa"/>
              <w:start w:w="75" w:type="dxa"/>
              <w:bottom w:w="65" w:type="dxa"/>
              <w:end w:w="75" w:type="dxa"/>
            </w:tcMar>
            <w:vAlign w:val="top"/>
          </w:tcPr>
          <w:p>
            <w:pPr>
              <w:keepLines/>
              <w:spacing w:after="0"/>
            </w:pPr>
            <w:r>
              <w:t>AC53</w:t>
            </w:r>
          </w:p>
        </w:tc>
        <w:tc>
          <w:tcPr>
            <w:tcW w:type="dxa" w:w="3672"/>
            <w:tcMar>
              <w:top w:w="65" w:type="dxa"/>
              <w:start w:w="75" w:type="dxa"/>
              <w:bottom w:w="65" w:type="dxa"/>
              <w:end w:w="75" w:type="dxa"/>
            </w:tcMar>
            <w:vAlign w:val="top"/>
          </w:tcPr>
          <w:p>
            <w:pPr>
              <w:keepLines/>
              <w:spacing w:after="0"/>
            </w:pPr>
            <w:r>
              <w:t>Annualización no definida</w:t>
            </w:r>
          </w:p>
        </w:tc>
        <w:tc>
          <w:tcPr>
            <w:tcW w:type="dxa" w:w="5472"/>
            <w:tcMar>
              <w:top w:w="65" w:type="dxa"/>
              <w:start w:w="75" w:type="dxa"/>
              <w:bottom w:w="65" w:type="dxa"/>
              <w:end w:w="75" w:type="dxa"/>
            </w:tcMar>
            <w:vAlign w:val="top"/>
          </w:tcPr>
          <w:p>
            <w:pPr>
              <w:keepLines/>
              <w:spacing w:after="0"/>
            </w:pPr>
            <w:r>
              <w:t>No anualizar.</w:t>
            </w:r>
          </w:p>
        </w:tc>
      </w:tr>
      <w:tr>
        <w:trPr>
          <w:trHeight w:hRule="atLeast"/>
        </w:trPr>
        <w:tc>
          <w:tcPr>
            <w:tcW w:type="dxa" w:w="936"/>
            <w:tcMar>
              <w:top w:w="65" w:type="dxa"/>
              <w:start w:w="75" w:type="dxa"/>
              <w:bottom w:w="65" w:type="dxa"/>
              <w:end w:w="75" w:type="dxa"/>
            </w:tcMar>
            <w:vAlign w:val="top"/>
          </w:tcPr>
          <w:p>
            <w:pPr>
              <w:keepLines/>
              <w:spacing w:after="0"/>
            </w:pPr>
            <w:r>
              <w:t>AC54</w:t>
            </w:r>
          </w:p>
        </w:tc>
        <w:tc>
          <w:tcPr>
            <w:tcW w:type="dxa" w:w="3672"/>
            <w:tcMar>
              <w:top w:w="65" w:type="dxa"/>
              <w:start w:w="75" w:type="dxa"/>
              <w:bottom w:w="65" w:type="dxa"/>
              <w:end w:w="75" w:type="dxa"/>
            </w:tcMar>
            <w:vAlign w:val="top"/>
          </w:tcPr>
          <w:p>
            <w:pPr>
              <w:keepLines/>
              <w:spacing w:after="0"/>
            </w:pPr>
            <w:r>
              <w:t>Aumento de eventos por mayor exposición con tasa estable</w:t>
            </w:r>
          </w:p>
        </w:tc>
        <w:tc>
          <w:tcPr>
            <w:tcW w:type="dxa" w:w="5472"/>
            <w:tcMar>
              <w:top w:w="65" w:type="dxa"/>
              <w:start w:w="75" w:type="dxa"/>
              <w:bottom w:w="65" w:type="dxa"/>
              <w:end w:w="75" w:type="dxa"/>
            </w:tcMar>
            <w:vAlign w:val="top"/>
          </w:tcPr>
          <w:p>
            <w:pPr>
              <w:keepLines/>
              <w:spacing w:after="0"/>
            </w:pPr>
            <w:r>
              <w:t>No inferir deterioro de incidencia.</w:t>
            </w:r>
          </w:p>
        </w:tc>
      </w:tr>
      <w:tr>
        <w:trPr>
          <w:trHeight w:hRule="atLeast"/>
        </w:trPr>
        <w:tc>
          <w:tcPr>
            <w:tcW w:type="dxa" w:w="936"/>
            <w:tcMar>
              <w:top w:w="65" w:type="dxa"/>
              <w:start w:w="75" w:type="dxa"/>
              <w:bottom w:w="65" w:type="dxa"/>
              <w:end w:w="75" w:type="dxa"/>
            </w:tcMar>
            <w:vAlign w:val="top"/>
          </w:tcPr>
          <w:p>
            <w:pPr>
              <w:keepLines/>
              <w:spacing w:after="0"/>
            </w:pPr>
            <w:r>
              <w:t>AC55</w:t>
            </w:r>
          </w:p>
        </w:tc>
        <w:tc>
          <w:tcPr>
            <w:tcW w:type="dxa" w:w="3672"/>
            <w:tcMar>
              <w:top w:w="65" w:type="dxa"/>
              <w:start w:w="75" w:type="dxa"/>
              <w:bottom w:w="65" w:type="dxa"/>
              <w:end w:w="75" w:type="dxa"/>
            </w:tcMar>
            <w:vAlign w:val="top"/>
          </w:tcPr>
          <w:p>
            <w:pPr>
              <w:keepLines/>
              <w:spacing w:after="0"/>
            </w:pPr>
            <w:r>
              <w:t>Tasa mejora pero eventos absolutos suben por crecimiento</w:t>
            </w:r>
          </w:p>
        </w:tc>
        <w:tc>
          <w:tcPr>
            <w:tcW w:type="dxa" w:w="5472"/>
            <w:tcMar>
              <w:top w:w="65" w:type="dxa"/>
              <w:start w:w="75" w:type="dxa"/>
              <w:bottom w:w="65" w:type="dxa"/>
              <w:end w:w="75" w:type="dxa"/>
            </w:tcMar>
            <w:vAlign w:val="top"/>
          </w:tcPr>
          <w:p>
            <w:pPr>
              <w:keepLines/>
              <w:spacing w:after="0"/>
            </w:pPr>
            <w:r>
              <w:t>Preservar ambas lecturas; no confundir.</w:t>
            </w:r>
          </w:p>
        </w:tc>
      </w:tr>
      <w:tr>
        <w:trPr>
          <w:trHeight w:hRule="atLeast"/>
        </w:trPr>
        <w:tc>
          <w:tcPr>
            <w:tcW w:type="dxa" w:w="936"/>
            <w:tcMar>
              <w:top w:w="65" w:type="dxa"/>
              <w:start w:w="75" w:type="dxa"/>
              <w:bottom w:w="65" w:type="dxa"/>
              <w:end w:w="75" w:type="dxa"/>
            </w:tcMar>
            <w:vAlign w:val="top"/>
          </w:tcPr>
          <w:p>
            <w:pPr>
              <w:keepLines/>
              <w:spacing w:after="0"/>
            </w:pPr>
            <w:r>
              <w:t>AC56</w:t>
            </w:r>
          </w:p>
        </w:tc>
        <w:tc>
          <w:tcPr>
            <w:tcW w:type="dxa" w:w="3672"/>
            <w:tcMar>
              <w:top w:w="65" w:type="dxa"/>
              <w:start w:w="75" w:type="dxa"/>
              <w:bottom w:w="65" w:type="dxa"/>
              <w:end w:w="75" w:type="dxa"/>
            </w:tcMar>
            <w:vAlign w:val="top"/>
          </w:tcPr>
          <w:p>
            <w:pPr>
              <w:keepLines/>
              <w:spacing w:after="0"/>
            </w:pPr>
            <w:r>
              <w:t>Shock externo confirmado</w:t>
            </w:r>
          </w:p>
        </w:tc>
        <w:tc>
          <w:tcPr>
            <w:tcW w:type="dxa" w:w="5472"/>
            <w:tcMar>
              <w:top w:w="65" w:type="dxa"/>
              <w:start w:w="75" w:type="dxa"/>
              <w:bottom w:w="65" w:type="dxa"/>
              <w:end w:w="75" w:type="dxa"/>
            </w:tcMar>
            <w:vAlign w:val="top"/>
          </w:tcPr>
          <w:p>
            <w:pPr>
              <w:keepLines/>
              <w:spacing w:after="0"/>
            </w:pPr>
            <w:r>
              <w:t>Marcar shock; tratamiento explícito.</w:t>
            </w:r>
          </w:p>
        </w:tc>
      </w:tr>
      <w:tr>
        <w:trPr>
          <w:trHeight w:hRule="atLeast"/>
        </w:trPr>
        <w:tc>
          <w:tcPr>
            <w:tcW w:type="dxa" w:w="936"/>
            <w:tcMar>
              <w:top w:w="65" w:type="dxa"/>
              <w:start w:w="75" w:type="dxa"/>
              <w:bottom w:w="65" w:type="dxa"/>
              <w:end w:w="75" w:type="dxa"/>
            </w:tcMar>
            <w:vAlign w:val="top"/>
          </w:tcPr>
          <w:p>
            <w:pPr>
              <w:keepLines/>
              <w:spacing w:after="0"/>
            </w:pPr>
            <w:r>
              <w:t>AC57</w:t>
            </w:r>
          </w:p>
        </w:tc>
        <w:tc>
          <w:tcPr>
            <w:tcW w:type="dxa" w:w="3672"/>
            <w:tcMar>
              <w:top w:w="65" w:type="dxa"/>
              <w:start w:w="75" w:type="dxa"/>
              <w:bottom w:w="65" w:type="dxa"/>
              <w:end w:w="75" w:type="dxa"/>
            </w:tcMar>
            <w:vAlign w:val="top"/>
          </w:tcPr>
          <w:p>
            <w:pPr>
              <w:keepLines/>
              <w:spacing w:after="0"/>
            </w:pPr>
            <w:r>
              <w:t>Shock interno confirmado</w:t>
            </w:r>
          </w:p>
        </w:tc>
        <w:tc>
          <w:tcPr>
            <w:tcW w:type="dxa" w:w="5472"/>
            <w:tcMar>
              <w:top w:w="65" w:type="dxa"/>
              <w:start w:w="75" w:type="dxa"/>
              <w:bottom w:w="65" w:type="dxa"/>
              <w:end w:w="75" w:type="dxa"/>
            </w:tcMar>
            <w:vAlign w:val="top"/>
          </w:tcPr>
          <w:p>
            <w:pPr>
              <w:keepLines/>
              <w:spacing w:after="0"/>
            </w:pPr>
            <w:r>
              <w:t>Marcar; no excluir automáticamente.</w:t>
            </w:r>
          </w:p>
        </w:tc>
      </w:tr>
      <w:tr>
        <w:trPr>
          <w:trHeight w:hRule="atLeast"/>
        </w:trPr>
        <w:tc>
          <w:tcPr>
            <w:tcW w:type="dxa" w:w="936"/>
            <w:tcMar>
              <w:top w:w="65" w:type="dxa"/>
              <w:start w:w="75" w:type="dxa"/>
              <w:bottom w:w="65" w:type="dxa"/>
              <w:end w:w="75" w:type="dxa"/>
            </w:tcMar>
            <w:vAlign w:val="top"/>
          </w:tcPr>
          <w:p>
            <w:pPr>
              <w:keepLines/>
              <w:spacing w:after="0"/>
            </w:pPr>
            <w:r>
              <w:t>AC58</w:t>
            </w:r>
          </w:p>
        </w:tc>
        <w:tc>
          <w:tcPr>
            <w:tcW w:type="dxa" w:w="3672"/>
            <w:tcMar>
              <w:top w:w="65" w:type="dxa"/>
              <w:start w:w="75" w:type="dxa"/>
              <w:bottom w:w="65" w:type="dxa"/>
              <w:end w:w="75" w:type="dxa"/>
            </w:tcMar>
            <w:vAlign w:val="top"/>
          </w:tcPr>
          <w:p>
            <w:pPr>
              <w:keepLines/>
              <w:spacing w:after="0"/>
            </w:pPr>
            <w:r>
              <w:t>Serie estacional</w:t>
            </w:r>
          </w:p>
        </w:tc>
        <w:tc>
          <w:tcPr>
            <w:tcW w:type="dxa" w:w="5472"/>
            <w:tcMar>
              <w:top w:w="65" w:type="dxa"/>
              <w:start w:w="75" w:type="dxa"/>
              <w:bottom w:w="65" w:type="dxa"/>
              <w:end w:w="75" w:type="dxa"/>
            </w:tcMar>
            <w:vAlign w:val="top"/>
          </w:tcPr>
          <w:p>
            <w:pPr>
              <w:keepLines/>
              <w:spacing w:after="0"/>
            </w:pPr>
            <w:r>
              <w:t>TEMPORAL_PATTERN=SEASONAL o TREND_AND_SEASONAL.</w:t>
            </w:r>
          </w:p>
        </w:tc>
      </w:tr>
      <w:tr>
        <w:trPr>
          <w:trHeight w:hRule="atLeast"/>
        </w:trPr>
        <w:tc>
          <w:tcPr>
            <w:tcW w:type="dxa" w:w="936"/>
            <w:tcMar>
              <w:top w:w="65" w:type="dxa"/>
              <w:start w:w="75" w:type="dxa"/>
              <w:bottom w:w="65" w:type="dxa"/>
              <w:end w:w="75" w:type="dxa"/>
            </w:tcMar>
            <w:vAlign w:val="top"/>
          </w:tcPr>
          <w:p>
            <w:pPr>
              <w:keepLines/>
              <w:spacing w:after="0"/>
            </w:pPr>
            <w:r>
              <w:t>AC59</w:t>
            </w:r>
          </w:p>
        </w:tc>
        <w:tc>
          <w:tcPr>
            <w:tcW w:type="dxa" w:w="3672"/>
            <w:tcMar>
              <w:top w:w="65" w:type="dxa"/>
              <w:start w:w="75" w:type="dxa"/>
              <w:bottom w:w="65" w:type="dxa"/>
              <w:end w:w="75" w:type="dxa"/>
            </w:tcMar>
            <w:vAlign w:val="top"/>
          </w:tcPr>
          <w:p>
            <w:pPr>
              <w:keepLines/>
              <w:spacing w:after="0"/>
            </w:pPr>
            <w:r>
              <w:t>Serie volátil sin patrón</w:t>
            </w:r>
          </w:p>
        </w:tc>
        <w:tc>
          <w:tcPr>
            <w:tcW w:type="dxa" w:w="5472"/>
            <w:tcMar>
              <w:top w:w="65" w:type="dxa"/>
              <w:start w:w="75" w:type="dxa"/>
              <w:bottom w:w="65" w:type="dxa"/>
              <w:end w:w="75" w:type="dxa"/>
            </w:tcMar>
            <w:vAlign w:val="top"/>
          </w:tcPr>
          <w:p>
            <w:pPr>
              <w:keepLines/>
              <w:spacing w:after="0"/>
            </w:pPr>
            <w:r>
              <w:t>SERIES_STABILITY=HIGHLY_VARIABLE; pattern no VOLATILE.</w:t>
            </w:r>
          </w:p>
        </w:tc>
      </w:tr>
      <w:tr>
        <w:trPr>
          <w:trHeight w:hRule="atLeast"/>
        </w:trPr>
        <w:tc>
          <w:tcPr>
            <w:tcW w:type="dxa" w:w="936"/>
            <w:tcMar>
              <w:top w:w="65" w:type="dxa"/>
              <w:start w:w="75" w:type="dxa"/>
              <w:bottom w:w="65" w:type="dxa"/>
              <w:end w:w="75" w:type="dxa"/>
            </w:tcMar>
            <w:vAlign w:val="top"/>
          </w:tcPr>
          <w:p>
            <w:pPr>
              <w:keepLines/>
              <w:spacing w:after="0"/>
            </w:pPr>
            <w:r>
              <w:t>AC60</w:t>
            </w:r>
          </w:p>
        </w:tc>
        <w:tc>
          <w:tcPr>
            <w:tcW w:type="dxa" w:w="3672"/>
            <w:tcMar>
              <w:top w:w="65" w:type="dxa"/>
              <w:start w:w="75" w:type="dxa"/>
              <w:bottom w:w="65" w:type="dxa"/>
              <w:end w:w="75" w:type="dxa"/>
            </w:tcMar>
            <w:vAlign w:val="top"/>
          </w:tcPr>
          <w:p>
            <w:pPr>
              <w:keepLines/>
              <w:spacing w:after="0"/>
            </w:pPr>
            <w:r>
              <w:t>Evento raro con cero histórico</w:t>
            </w:r>
          </w:p>
        </w:tc>
        <w:tc>
          <w:tcPr>
            <w:tcW w:type="dxa" w:w="5472"/>
            <w:tcMar>
              <w:top w:w="65" w:type="dxa"/>
              <w:start w:w="75" w:type="dxa"/>
              <w:bottom w:w="65" w:type="dxa"/>
              <w:end w:w="75" w:type="dxa"/>
            </w:tcMar>
            <w:vAlign w:val="top"/>
          </w:tcPr>
          <w:p>
            <w:pPr>
              <w:keepLines/>
              <w:spacing w:after="0"/>
            </w:pPr>
            <w:r>
              <w:t>No inferir riesgo futuro cero; PIIO solo observa historia.</w:t>
            </w:r>
          </w:p>
        </w:tc>
      </w:tr>
      <w:tr>
        <w:trPr>
          <w:trHeight w:hRule="atLeast"/>
        </w:trPr>
        <w:tc>
          <w:tcPr>
            <w:tcW w:type="dxa" w:w="936"/>
            <w:tcMar>
              <w:top w:w="65" w:type="dxa"/>
              <w:start w:w="75" w:type="dxa"/>
              <w:bottom w:w="65" w:type="dxa"/>
              <w:end w:w="75" w:type="dxa"/>
            </w:tcMar>
            <w:vAlign w:val="top"/>
          </w:tcPr>
          <w:p>
            <w:pPr>
              <w:keepLines/>
              <w:spacing w:after="0"/>
            </w:pPr>
            <w:r>
              <w:t>AC61</w:t>
            </w:r>
          </w:p>
        </w:tc>
        <w:tc>
          <w:tcPr>
            <w:tcW w:type="dxa" w:w="3672"/>
            <w:tcMar>
              <w:top w:w="65" w:type="dxa"/>
              <w:start w:w="75" w:type="dxa"/>
              <w:bottom w:w="65" w:type="dxa"/>
              <w:end w:w="75" w:type="dxa"/>
            </w:tcMar>
            <w:vAlign w:val="top"/>
          </w:tcPr>
          <w:p>
            <w:pPr>
              <w:keepLines/>
              <w:spacing w:after="0"/>
            </w:pPr>
            <w:r>
              <w:t>PIIO → CFF</w:t>
            </w:r>
          </w:p>
        </w:tc>
        <w:tc>
          <w:tcPr>
            <w:tcW w:type="dxa" w:w="5472"/>
            <w:tcMar>
              <w:top w:w="65" w:type="dxa"/>
              <w:start w:w="75" w:type="dxa"/>
              <w:bottom w:w="65" w:type="dxa"/>
              <w:end w:w="75" w:type="dxa"/>
            </w:tcMar>
            <w:vAlign w:val="top"/>
          </w:tcPr>
          <w:p>
            <w:pPr>
              <w:keepLines/>
              <w:spacing w:after="0"/>
            </w:pPr>
            <w:r>
              <w:t>Exporta fenómeno/exposición; no dinero.</w:t>
            </w:r>
          </w:p>
        </w:tc>
      </w:tr>
      <w:tr>
        <w:trPr>
          <w:trHeight w:hRule="atLeast"/>
        </w:trPr>
        <w:tc>
          <w:tcPr>
            <w:tcW w:type="dxa" w:w="936"/>
            <w:tcMar>
              <w:top w:w="65" w:type="dxa"/>
              <w:start w:w="75" w:type="dxa"/>
              <w:bottom w:w="65" w:type="dxa"/>
              <w:end w:w="75" w:type="dxa"/>
            </w:tcMar>
            <w:vAlign w:val="top"/>
          </w:tcPr>
          <w:p>
            <w:pPr>
              <w:keepLines/>
              <w:spacing w:after="0"/>
            </w:pPr>
            <w:r>
              <w:t>AC62</w:t>
            </w:r>
          </w:p>
        </w:tc>
        <w:tc>
          <w:tcPr>
            <w:tcW w:type="dxa" w:w="3672"/>
            <w:tcMar>
              <w:top w:w="65" w:type="dxa"/>
              <w:start w:w="75" w:type="dxa"/>
              <w:bottom w:w="65" w:type="dxa"/>
              <w:end w:w="75" w:type="dxa"/>
            </w:tcMar>
            <w:vAlign w:val="top"/>
          </w:tcPr>
          <w:p>
            <w:pPr>
              <w:keepLines/>
              <w:spacing w:after="0"/>
            </w:pPr>
            <w:r>
              <w:t>PIIO → IFD</w:t>
            </w:r>
          </w:p>
        </w:tc>
        <w:tc>
          <w:tcPr>
            <w:tcW w:type="dxa" w:w="5472"/>
            <w:tcMar>
              <w:top w:w="65" w:type="dxa"/>
              <w:start w:w="75" w:type="dxa"/>
              <w:bottom w:w="65" w:type="dxa"/>
              <w:end w:w="75" w:type="dxa"/>
            </w:tcMar>
            <w:vAlign w:val="top"/>
          </w:tcPr>
          <w:p>
            <w:pPr>
              <w:keepLines/>
              <w:spacing w:after="0"/>
            </w:pPr>
            <w:r>
              <w:t>Exporta definición/serie/exposición; no modelo predictivo.</w:t>
            </w:r>
          </w:p>
        </w:tc>
      </w:tr>
      <w:tr>
        <w:trPr>
          <w:trHeight w:hRule="atLeast"/>
        </w:trPr>
        <w:tc>
          <w:tcPr>
            <w:tcW w:type="dxa" w:w="936"/>
            <w:tcMar>
              <w:top w:w="65" w:type="dxa"/>
              <w:start w:w="75" w:type="dxa"/>
              <w:bottom w:w="65" w:type="dxa"/>
              <w:end w:w="75" w:type="dxa"/>
            </w:tcMar>
            <w:vAlign w:val="top"/>
          </w:tcPr>
          <w:p>
            <w:pPr>
              <w:keepLines/>
              <w:spacing w:after="0"/>
            </w:pPr>
            <w:r>
              <w:t>AC63</w:t>
            </w:r>
          </w:p>
        </w:tc>
        <w:tc>
          <w:tcPr>
            <w:tcW w:type="dxa" w:w="3672"/>
            <w:tcMar>
              <w:top w:w="65" w:type="dxa"/>
              <w:start w:w="75" w:type="dxa"/>
              <w:bottom w:w="65" w:type="dxa"/>
              <w:end w:w="75" w:type="dxa"/>
            </w:tcMar>
            <w:vAlign w:val="top"/>
          </w:tcPr>
          <w:p>
            <w:pPr>
              <w:keepLines/>
              <w:spacing w:after="0"/>
            </w:pPr>
            <w:r>
              <w:t>Fenómeno provisional CFF/IFD</w:t>
            </w:r>
          </w:p>
        </w:tc>
        <w:tc>
          <w:tcPr>
            <w:tcW w:type="dxa" w:w="5472"/>
            <w:tcMar>
              <w:top w:w="65" w:type="dxa"/>
              <w:start w:w="75" w:type="dxa"/>
              <w:bottom w:w="65" w:type="dxa"/>
              <w:end w:w="75" w:type="dxa"/>
            </w:tcMar>
            <w:vAlign w:val="top"/>
          </w:tcPr>
          <w:p>
            <w:pPr>
              <w:keepLines/>
              <w:spacing w:after="0"/>
            </w:pPr>
            <w:r>
              <w:t>No alimenta EFO/AIE.</w:t>
            </w:r>
          </w:p>
        </w:tc>
      </w:tr>
      <w:tr>
        <w:trPr>
          <w:trHeight w:hRule="atLeast"/>
        </w:trPr>
        <w:tc>
          <w:tcPr>
            <w:tcW w:type="dxa" w:w="936"/>
            <w:tcMar>
              <w:top w:w="65" w:type="dxa"/>
              <w:start w:w="75" w:type="dxa"/>
              <w:bottom w:w="65" w:type="dxa"/>
              <w:end w:w="75" w:type="dxa"/>
            </w:tcMar>
            <w:vAlign w:val="top"/>
          </w:tcPr>
          <w:p>
            <w:pPr>
              <w:keepLines/>
              <w:spacing w:after="0"/>
            </w:pPr>
            <w:r>
              <w:t>AC64</w:t>
            </w:r>
          </w:p>
        </w:tc>
        <w:tc>
          <w:tcPr>
            <w:tcW w:type="dxa" w:w="3672"/>
            <w:tcMar>
              <w:top w:w="65" w:type="dxa"/>
              <w:start w:w="75" w:type="dxa"/>
              <w:bottom w:w="65" w:type="dxa"/>
              <w:end w:w="75" w:type="dxa"/>
            </w:tcMar>
            <w:vAlign w:val="top"/>
          </w:tcPr>
          <w:p>
            <w:pPr>
              <w:keepLines/>
              <w:spacing w:after="0"/>
            </w:pPr>
            <w:r>
              <w:t>CFF encuentra costo alto</w:t>
            </w:r>
          </w:p>
        </w:tc>
        <w:tc>
          <w:tcPr>
            <w:tcW w:type="dxa" w:w="5472"/>
            <w:tcMar>
              <w:top w:w="65" w:type="dxa"/>
              <w:start w:w="75" w:type="dxa"/>
              <w:bottom w:w="65" w:type="dxa"/>
              <w:end w:w="75" w:type="dxa"/>
            </w:tcMar>
            <w:vAlign w:val="top"/>
          </w:tcPr>
          <w:p>
            <w:pPr>
              <w:keepLines/>
              <w:spacing w:after="0"/>
            </w:pPr>
            <w:r>
              <w:t>No cambia EFO.</w:t>
            </w:r>
          </w:p>
        </w:tc>
      </w:tr>
      <w:tr>
        <w:trPr>
          <w:trHeight w:hRule="atLeast"/>
        </w:trPr>
        <w:tc>
          <w:tcPr>
            <w:tcW w:type="dxa" w:w="936"/>
            <w:tcMar>
              <w:top w:w="65" w:type="dxa"/>
              <w:start w:w="75" w:type="dxa"/>
              <w:bottom w:w="65" w:type="dxa"/>
              <w:end w:w="75" w:type="dxa"/>
            </w:tcMar>
            <w:vAlign w:val="top"/>
          </w:tcPr>
          <w:p>
            <w:pPr>
              <w:keepLines/>
              <w:spacing w:after="0"/>
            </w:pPr>
            <w:r>
              <w:t>AC65</w:t>
            </w:r>
          </w:p>
        </w:tc>
        <w:tc>
          <w:tcPr>
            <w:tcW w:type="dxa" w:w="3672"/>
            <w:tcMar>
              <w:top w:w="65" w:type="dxa"/>
              <w:start w:w="75" w:type="dxa"/>
              <w:bottom w:w="65" w:type="dxa"/>
              <w:end w:w="75" w:type="dxa"/>
            </w:tcMar>
            <w:vAlign w:val="top"/>
          </w:tcPr>
          <w:p>
            <w:pPr>
              <w:keepLines/>
              <w:spacing w:after="0"/>
            </w:pPr>
            <w:r>
              <w:t>IFD proyecta deterioro alto</w:t>
            </w:r>
          </w:p>
        </w:tc>
        <w:tc>
          <w:tcPr>
            <w:tcW w:type="dxa" w:w="5472"/>
            <w:tcMar>
              <w:top w:w="65" w:type="dxa"/>
              <w:start w:w="75" w:type="dxa"/>
              <w:bottom w:w="65" w:type="dxa"/>
              <w:end w:w="75" w:type="dxa"/>
            </w:tcMar>
            <w:vAlign w:val="top"/>
          </w:tcPr>
          <w:p>
            <w:pPr>
              <w:keepLines/>
              <w:spacing w:after="0"/>
            </w:pPr>
            <w:r>
              <w:t>No cambia EFO histórica.</w:t>
            </w:r>
          </w:p>
        </w:tc>
      </w:tr>
      <w:tr>
        <w:trPr>
          <w:trHeight w:hRule="atLeast"/>
        </w:trPr>
        <w:tc>
          <w:tcPr>
            <w:tcW w:type="dxa" w:w="936"/>
            <w:tcMar>
              <w:top w:w="65" w:type="dxa"/>
              <w:start w:w="75" w:type="dxa"/>
              <w:bottom w:w="65" w:type="dxa"/>
              <w:end w:w="75" w:type="dxa"/>
            </w:tcMar>
            <w:vAlign w:val="top"/>
          </w:tcPr>
          <w:p>
            <w:pPr>
              <w:keepLines/>
              <w:spacing w:after="0"/>
            </w:pPr>
            <w:r>
              <w:t>AC66</w:t>
            </w:r>
          </w:p>
        </w:tc>
        <w:tc>
          <w:tcPr>
            <w:tcW w:type="dxa" w:w="3672"/>
            <w:tcMar>
              <w:top w:w="65" w:type="dxa"/>
              <w:start w:w="75" w:type="dxa"/>
              <w:bottom w:w="65" w:type="dxa"/>
              <w:end w:w="75" w:type="dxa"/>
            </w:tcMar>
            <w:vAlign w:val="top"/>
          </w:tcPr>
          <w:p>
            <w:pPr>
              <w:keepLines/>
              <w:spacing w:after="0"/>
            </w:pPr>
            <w:r>
              <w:t>AIE cambia</w:t>
            </w:r>
          </w:p>
        </w:tc>
        <w:tc>
          <w:tcPr>
            <w:tcW w:type="dxa" w:w="5472"/>
            <w:tcMar>
              <w:top w:w="65" w:type="dxa"/>
              <w:start w:w="75" w:type="dxa"/>
              <w:bottom w:w="65" w:type="dxa"/>
              <w:end w:w="75" w:type="dxa"/>
            </w:tcMar>
            <w:vAlign w:val="top"/>
          </w:tcPr>
          <w:p>
            <w:pPr>
              <w:keepLines/>
              <w:spacing w:after="0"/>
            </w:pPr>
            <w:r>
              <w:t>No reescribe PIIO.</w:t>
            </w:r>
          </w:p>
        </w:tc>
      </w:tr>
      <w:tr>
        <w:trPr>
          <w:trHeight w:hRule="atLeast"/>
        </w:trPr>
        <w:tc>
          <w:tcPr>
            <w:tcW w:type="dxa" w:w="936"/>
            <w:tcMar>
              <w:top w:w="65" w:type="dxa"/>
              <w:start w:w="75" w:type="dxa"/>
              <w:bottom w:w="65" w:type="dxa"/>
              <w:end w:w="75" w:type="dxa"/>
            </w:tcMar>
            <w:vAlign w:val="top"/>
          </w:tcPr>
          <w:p>
            <w:pPr>
              <w:keepLines/>
              <w:spacing w:after="0"/>
            </w:pPr>
            <w:r>
              <w:t>AC67</w:t>
            </w:r>
          </w:p>
        </w:tc>
        <w:tc>
          <w:tcPr>
            <w:tcW w:type="dxa" w:w="3672"/>
            <w:tcMar>
              <w:top w:w="65" w:type="dxa"/>
              <w:start w:w="75" w:type="dxa"/>
              <w:bottom w:w="65" w:type="dxa"/>
              <w:end w:w="75" w:type="dxa"/>
            </w:tcMar>
            <w:vAlign w:val="top"/>
          </w:tcPr>
          <w:p>
            <w:pPr>
              <w:keepLines/>
              <w:spacing w:after="0"/>
            </w:pPr>
            <w:r>
              <w:t>Cambio de ruleset PIIO</w:t>
            </w:r>
          </w:p>
        </w:tc>
        <w:tc>
          <w:tcPr>
            <w:tcW w:type="dxa" w:w="5472"/>
            <w:tcMar>
              <w:top w:w="65" w:type="dxa"/>
              <w:start w:w="75" w:type="dxa"/>
              <w:bottom w:w="65" w:type="dxa"/>
              <w:end w:w="75" w:type="dxa"/>
            </w:tcMar>
            <w:vAlign w:val="top"/>
          </w:tcPr>
          <w:p>
            <w:pPr>
              <w:keepLines/>
              <w:spacing w:after="0"/>
            </w:pPr>
            <w:r>
              <w:t>Nueva run/version.</w:t>
            </w:r>
          </w:p>
        </w:tc>
      </w:tr>
      <w:tr>
        <w:trPr>
          <w:trHeight w:hRule="atLeast"/>
        </w:trPr>
        <w:tc>
          <w:tcPr>
            <w:tcW w:type="dxa" w:w="936"/>
            <w:tcMar>
              <w:top w:w="65" w:type="dxa"/>
              <w:start w:w="75" w:type="dxa"/>
              <w:bottom w:w="65" w:type="dxa"/>
              <w:end w:w="75" w:type="dxa"/>
            </w:tcMar>
            <w:vAlign w:val="top"/>
          </w:tcPr>
          <w:p>
            <w:pPr>
              <w:keepLines/>
              <w:spacing w:after="0"/>
            </w:pPr>
            <w:r>
              <w:t>AC68</w:t>
            </w:r>
          </w:p>
        </w:tc>
        <w:tc>
          <w:tcPr>
            <w:tcW w:type="dxa" w:w="3672"/>
            <w:tcMar>
              <w:top w:w="65" w:type="dxa"/>
              <w:start w:w="75" w:type="dxa"/>
              <w:bottom w:w="65" w:type="dxa"/>
              <w:end w:w="75" w:type="dxa"/>
            </w:tcMar>
            <w:vAlign w:val="top"/>
          </w:tcPr>
          <w:p>
            <w:pPr>
              <w:keepLines/>
              <w:spacing w:after="0"/>
            </w:pPr>
            <w:r>
              <w:t>Mismos inputs/versiones</w:t>
            </w:r>
          </w:p>
        </w:tc>
        <w:tc>
          <w:tcPr>
            <w:tcW w:type="dxa" w:w="5472"/>
            <w:tcMar>
              <w:top w:w="65" w:type="dxa"/>
              <w:start w:w="75" w:type="dxa"/>
              <w:bottom w:w="65" w:type="dxa"/>
              <w:end w:w="75" w:type="dxa"/>
            </w:tcMar>
            <w:vAlign w:val="top"/>
          </w:tcPr>
          <w:p>
            <w:pPr>
              <w:keepLines/>
              <w:spacing w:after="0"/>
            </w:pPr>
            <w:r>
              <w:t>Mismo EFO.</w:t>
            </w:r>
          </w:p>
        </w:tc>
      </w:tr>
      <w:tr>
        <w:trPr>
          <w:trHeight w:hRule="atLeast"/>
        </w:trPr>
        <w:tc>
          <w:tcPr>
            <w:tcW w:type="dxa" w:w="936"/>
            <w:tcMar>
              <w:top w:w="65" w:type="dxa"/>
              <w:start w:w="75" w:type="dxa"/>
              <w:bottom w:w="65" w:type="dxa"/>
              <w:end w:w="75" w:type="dxa"/>
            </w:tcMar>
            <w:vAlign w:val="top"/>
          </w:tcPr>
          <w:p>
            <w:pPr>
              <w:keepLines/>
              <w:spacing w:after="0"/>
            </w:pPr>
            <w:r>
              <w:t>AC69</w:t>
            </w:r>
          </w:p>
        </w:tc>
        <w:tc>
          <w:tcPr>
            <w:tcW w:type="dxa" w:w="3672"/>
            <w:tcMar>
              <w:top w:w="65" w:type="dxa"/>
              <w:start w:w="75" w:type="dxa"/>
              <w:bottom w:w="65" w:type="dxa"/>
              <w:end w:w="75" w:type="dxa"/>
            </w:tcMar>
            <w:vAlign w:val="top"/>
          </w:tcPr>
          <w:p>
            <w:pPr>
              <w:keepLines/>
              <w:spacing w:after="0"/>
            </w:pPr>
            <w:r>
              <w:t>Error local de un KPI</w:t>
            </w:r>
          </w:p>
        </w:tc>
        <w:tc>
          <w:tcPr>
            <w:tcW w:type="dxa" w:w="5472"/>
            <w:tcMar>
              <w:top w:w="65" w:type="dxa"/>
              <w:start w:w="75" w:type="dxa"/>
              <w:bottom w:w="65" w:type="dxa"/>
              <w:end w:w="75" w:type="dxa"/>
            </w:tcMar>
            <w:vAlign w:val="top"/>
          </w:tcPr>
          <w:p>
            <w:pPr>
              <w:keepLines/>
              <w:spacing w:after="0"/>
            </w:pPr>
            <w:r>
              <w:t>Otros grupos independientes continúan.</w:t>
            </w:r>
          </w:p>
        </w:tc>
      </w:tr>
      <w:tr>
        <w:trPr>
          <w:trHeight w:hRule="atLeast"/>
        </w:trPr>
        <w:tc>
          <w:tcPr>
            <w:tcW w:type="dxa" w:w="936"/>
            <w:tcMar>
              <w:top w:w="65" w:type="dxa"/>
              <w:start w:w="75" w:type="dxa"/>
              <w:bottom w:w="65" w:type="dxa"/>
              <w:end w:w="75" w:type="dxa"/>
            </w:tcMar>
            <w:vAlign w:val="top"/>
          </w:tcPr>
          <w:p>
            <w:pPr>
              <w:keepLines/>
              <w:spacing w:after="0"/>
            </w:pPr>
            <w:r>
              <w:t>AC70</w:t>
            </w:r>
          </w:p>
        </w:tc>
        <w:tc>
          <w:tcPr>
            <w:tcW w:type="dxa" w:w="3672"/>
            <w:tcMar>
              <w:top w:w="65" w:type="dxa"/>
              <w:start w:w="75" w:type="dxa"/>
              <w:bottom w:w="65" w:type="dxa"/>
              <w:end w:w="75" w:type="dxa"/>
            </w:tcMar>
            <w:vAlign w:val="top"/>
          </w:tcPr>
          <w:p>
            <w:pPr>
              <w:keepLines/>
              <w:spacing w:after="0"/>
            </w:pPr>
            <w:r>
              <w:t>Catálogo de dominios corrupto</w:t>
            </w:r>
          </w:p>
        </w:tc>
        <w:tc>
          <w:tcPr>
            <w:tcW w:type="dxa" w:w="5472"/>
            <w:tcMar>
              <w:top w:w="65" w:type="dxa"/>
              <w:start w:w="75" w:type="dxa"/>
              <w:bottom w:w="65" w:type="dxa"/>
              <w:end w:w="75" w:type="dxa"/>
            </w:tcMar>
            <w:vAlign w:val="top"/>
          </w:tcPr>
          <w:p>
            <w:pPr>
              <w:keepLines/>
              <w:spacing w:after="0"/>
            </w:pPr>
            <w:r>
              <w:t>Fallo bloqueante.</w:t>
            </w:r>
          </w:p>
        </w:tc>
      </w:tr>
      <w:tr>
        <w:trPr>
          <w:trHeight w:hRule="atLeast"/>
        </w:trPr>
        <w:tc>
          <w:tcPr>
            <w:tcW w:type="dxa" w:w="936"/>
            <w:tcMar>
              <w:top w:w="65" w:type="dxa"/>
              <w:start w:w="75" w:type="dxa"/>
              <w:bottom w:w="65" w:type="dxa"/>
              <w:end w:w="75" w:type="dxa"/>
            </w:tcMar>
            <w:vAlign w:val="top"/>
          </w:tcPr>
          <w:p>
            <w:pPr>
              <w:keepLines/>
              <w:spacing w:after="0"/>
            </w:pPr>
            <w:r>
              <w:t>AC71</w:t>
            </w:r>
          </w:p>
        </w:tc>
        <w:tc>
          <w:tcPr>
            <w:tcW w:type="dxa" w:w="3672"/>
            <w:tcMar>
              <w:top w:w="65" w:type="dxa"/>
              <w:start w:w="75" w:type="dxa"/>
              <w:bottom w:w="65" w:type="dxa"/>
              <w:end w:w="75" w:type="dxa"/>
            </w:tcMar>
            <w:vAlign w:val="top"/>
          </w:tcPr>
          <w:p>
            <w:pPr>
              <w:keepLines/>
              <w:spacing w:after="0"/>
            </w:pPr>
            <w:r>
              <w:t>Jerarquía de nodos cíclica</w:t>
            </w:r>
          </w:p>
        </w:tc>
        <w:tc>
          <w:tcPr>
            <w:tcW w:type="dxa" w:w="5472"/>
            <w:tcMar>
              <w:top w:w="65" w:type="dxa"/>
              <w:start w:w="75" w:type="dxa"/>
              <w:bottom w:w="65" w:type="dxa"/>
              <w:end w:w="75" w:type="dxa"/>
            </w:tcMar>
            <w:vAlign w:val="top"/>
          </w:tcPr>
          <w:p>
            <w:pPr>
              <w:keepLines/>
              <w:spacing w:after="0"/>
            </w:pPr>
            <w:r>
              <w:t>Fallo bloqueante.</w:t>
            </w:r>
          </w:p>
        </w:tc>
      </w:tr>
      <w:tr>
        <w:trPr>
          <w:trHeight w:hRule="atLeast"/>
        </w:trPr>
        <w:tc>
          <w:tcPr>
            <w:tcW w:type="dxa" w:w="936"/>
            <w:tcMar>
              <w:top w:w="65" w:type="dxa"/>
              <w:start w:w="75" w:type="dxa"/>
              <w:bottom w:w="65" w:type="dxa"/>
              <w:end w:w="75" w:type="dxa"/>
            </w:tcMar>
            <w:vAlign w:val="top"/>
          </w:tcPr>
          <w:p>
            <w:pPr>
              <w:keepLines/>
              <w:spacing w:after="0"/>
            </w:pPr>
            <w:r>
              <w:t>AC72</w:t>
            </w:r>
          </w:p>
        </w:tc>
        <w:tc>
          <w:tcPr>
            <w:tcW w:type="dxa" w:w="3672"/>
            <w:tcMar>
              <w:top w:w="65" w:type="dxa"/>
              <w:start w:w="75" w:type="dxa"/>
              <w:bottom w:w="65" w:type="dxa"/>
              <w:end w:w="75" w:type="dxa"/>
            </w:tcMar>
            <w:vAlign w:val="top"/>
          </w:tcPr>
          <w:p>
            <w:pPr>
              <w:keepLines/>
              <w:spacing w:after="0"/>
            </w:pPr>
            <w:r>
              <w:t>Reference version ausente</w:t>
            </w:r>
          </w:p>
        </w:tc>
        <w:tc>
          <w:tcPr>
            <w:tcW w:type="dxa" w:w="5472"/>
            <w:tcMar>
              <w:top w:w="65" w:type="dxa"/>
              <w:start w:w="75" w:type="dxa"/>
              <w:bottom w:w="65" w:type="dxa"/>
              <w:end w:w="75" w:type="dxa"/>
            </w:tcMar>
            <w:vAlign w:val="top"/>
          </w:tcPr>
          <w:p>
            <w:pPr>
              <w:keepLines/>
              <w:spacing w:after="0"/>
            </w:pPr>
            <w:r>
              <w:t>KPI afectado no clasificable.</w:t>
            </w:r>
          </w:p>
        </w:tc>
      </w:tr>
      <w:tr>
        <w:trPr>
          <w:trHeight w:hRule="atLeast"/>
        </w:trPr>
        <w:tc>
          <w:tcPr>
            <w:tcW w:type="dxa" w:w="936"/>
            <w:tcMar>
              <w:top w:w="65" w:type="dxa"/>
              <w:start w:w="75" w:type="dxa"/>
              <w:bottom w:w="65" w:type="dxa"/>
              <w:end w:w="75" w:type="dxa"/>
            </w:tcMar>
            <w:vAlign w:val="top"/>
          </w:tcPr>
          <w:p>
            <w:pPr>
              <w:keepLines/>
              <w:spacing w:after="0"/>
            </w:pPr>
            <w:r>
              <w:t>AC73</w:t>
            </w:r>
          </w:p>
        </w:tc>
        <w:tc>
          <w:tcPr>
            <w:tcW w:type="dxa" w:w="3672"/>
            <w:tcMar>
              <w:top w:w="65" w:type="dxa"/>
              <w:start w:w="75" w:type="dxa"/>
              <w:bottom w:w="65" w:type="dxa"/>
              <w:end w:w="75" w:type="dxa"/>
            </w:tcMar>
            <w:vAlign w:val="top"/>
          </w:tcPr>
          <w:p>
            <w:pPr>
              <w:keepLines/>
              <w:spacing w:after="0"/>
            </w:pPr>
            <w:r>
              <w:t>Metric definition version ausente</w:t>
            </w:r>
          </w:p>
        </w:tc>
        <w:tc>
          <w:tcPr>
            <w:tcW w:type="dxa" w:w="5472"/>
            <w:tcMar>
              <w:top w:w="65" w:type="dxa"/>
              <w:start w:w="75" w:type="dxa"/>
              <w:bottom w:w="65" w:type="dxa"/>
              <w:end w:w="75" w:type="dxa"/>
            </w:tcMar>
            <w:vAlign w:val="top"/>
          </w:tcPr>
          <w:p>
            <w:pPr>
              <w:keepLines/>
              <w:spacing w:after="0"/>
            </w:pPr>
            <w:r>
              <w:t>Bloquear estado afectado.</w:t>
            </w:r>
          </w:p>
        </w:tc>
      </w:tr>
      <w:tr>
        <w:trPr>
          <w:trHeight w:hRule="atLeast"/>
        </w:trPr>
        <w:tc>
          <w:tcPr>
            <w:tcW w:type="dxa" w:w="936"/>
            <w:tcMar>
              <w:top w:w="65" w:type="dxa"/>
              <w:start w:w="75" w:type="dxa"/>
              <w:bottom w:w="65" w:type="dxa"/>
              <w:end w:w="75" w:type="dxa"/>
            </w:tcMar>
            <w:vAlign w:val="top"/>
          </w:tcPr>
          <w:p>
            <w:pPr>
              <w:keepLines/>
              <w:spacing w:after="0"/>
            </w:pPr>
            <w:r>
              <w:t>AC74</w:t>
            </w:r>
          </w:p>
        </w:tc>
        <w:tc>
          <w:tcPr>
            <w:tcW w:type="dxa" w:w="3672"/>
            <w:tcMar>
              <w:top w:w="65" w:type="dxa"/>
              <w:start w:w="75" w:type="dxa"/>
              <w:bottom w:w="65" w:type="dxa"/>
              <w:end w:w="75" w:type="dxa"/>
            </w:tcMar>
            <w:vAlign w:val="top"/>
          </w:tcPr>
          <w:p>
            <w:pPr>
              <w:keepLines/>
              <w:spacing w:after="0"/>
            </w:pPr>
            <w:r>
              <w:t>Null publicado sin reason</w:t>
            </w:r>
          </w:p>
        </w:tc>
        <w:tc>
          <w:tcPr>
            <w:tcW w:type="dxa" w:w="5472"/>
            <w:tcMar>
              <w:top w:w="65" w:type="dxa"/>
              <w:start w:w="75" w:type="dxa"/>
              <w:bottom w:w="65" w:type="dxa"/>
              <w:end w:w="75" w:type="dxa"/>
            </w:tcMar>
            <w:vAlign w:val="top"/>
          </w:tcPr>
          <w:p>
            <w:pPr>
              <w:keepLines/>
              <w:spacing w:after="0"/>
            </w:pPr>
            <w:r>
              <w:t>Fallo de contrato.</w:t>
            </w:r>
          </w:p>
        </w:tc>
      </w:tr>
      <w:tr>
        <w:trPr>
          <w:trHeight w:hRule="atLeast"/>
        </w:trPr>
        <w:tc>
          <w:tcPr>
            <w:tcW w:type="dxa" w:w="936"/>
            <w:tcMar>
              <w:top w:w="65" w:type="dxa"/>
              <w:start w:w="75" w:type="dxa"/>
              <w:bottom w:w="65" w:type="dxa"/>
              <w:end w:w="75" w:type="dxa"/>
            </w:tcMar>
            <w:vAlign w:val="top"/>
          </w:tcPr>
          <w:p>
            <w:pPr>
              <w:keepLines/>
              <w:spacing w:after="0"/>
            </w:pPr>
            <w:r>
              <w:t>AC75</w:t>
            </w:r>
          </w:p>
        </w:tc>
        <w:tc>
          <w:tcPr>
            <w:tcW w:type="dxa" w:w="3672"/>
            <w:tcMar>
              <w:top w:w="65" w:type="dxa"/>
              <w:start w:w="75" w:type="dxa"/>
              <w:bottom w:w="65" w:type="dxa"/>
              <w:end w:w="75" w:type="dxa"/>
            </w:tcMar>
            <w:vAlign w:val="top"/>
          </w:tcPr>
          <w:p>
            <w:pPr>
              <w:keepLines/>
              <w:spacing w:after="0"/>
            </w:pPr>
            <w:r>
              <w:t>EFO_TOTAL no existe</w:t>
            </w:r>
          </w:p>
        </w:tc>
        <w:tc>
          <w:tcPr>
            <w:tcW w:type="dxa" w:w="5472"/>
            <w:tcMar>
              <w:top w:w="65" w:type="dxa"/>
              <w:start w:w="75" w:type="dxa"/>
              <w:bottom w:w="65" w:type="dxa"/>
              <w:end w:w="75" w:type="dxa"/>
            </w:tcMar>
            <w:vAlign w:val="top"/>
          </w:tcPr>
          <w:p>
            <w:pPr>
              <w:keepLines/>
              <w:spacing w:after="0"/>
            </w:pPr>
            <w:r>
              <w:t>Confirmar que no se crea score 0–100.</w:t>
            </w:r>
          </w:p>
        </w:tc>
      </w:tr>
      <w:tr>
        <w:trPr>
          <w:trHeight w:hRule="atLeast"/>
        </w:trPr>
        <w:tc>
          <w:tcPr>
            <w:tcW w:type="dxa" w:w="936"/>
            <w:tcMar>
              <w:top w:w="65" w:type="dxa"/>
              <w:start w:w="75" w:type="dxa"/>
              <w:bottom w:w="65" w:type="dxa"/>
              <w:end w:w="75" w:type="dxa"/>
            </w:tcMar>
            <w:vAlign w:val="top"/>
          </w:tcPr>
          <w:p>
            <w:pPr>
              <w:keepLines/>
              <w:spacing w:after="0"/>
            </w:pPr>
            <w:r>
              <w:t>AC76</w:t>
            </w:r>
          </w:p>
        </w:tc>
        <w:tc>
          <w:tcPr>
            <w:tcW w:type="dxa" w:w="3672"/>
            <w:tcMar>
              <w:top w:w="65" w:type="dxa"/>
              <w:start w:w="75" w:type="dxa"/>
              <w:bottom w:w="65" w:type="dxa"/>
              <w:end w:w="75" w:type="dxa"/>
            </w:tcMar>
            <w:vAlign w:val="top"/>
          </w:tcPr>
          <w:p>
            <w:pPr>
              <w:keepLines/>
              <w:spacing w:after="0"/>
            </w:pPr>
            <w:r>
              <w:t>Mayoría de dominios F con REQUIRED D</w:t>
            </w:r>
          </w:p>
        </w:tc>
        <w:tc>
          <w:tcPr>
            <w:tcW w:type="dxa" w:w="5472"/>
            <w:tcMar>
              <w:top w:w="65" w:type="dxa"/>
              <w:start w:w="75" w:type="dxa"/>
              <w:bottom w:w="65" w:type="dxa"/>
              <w:end w:w="75" w:type="dxa"/>
            </w:tcMar>
            <w:vAlign w:val="top"/>
          </w:tcPr>
          <w:p>
            <w:pPr>
              <w:keepLines/>
              <w:spacing w:after="0"/>
            </w:pPr>
            <w:r>
              <w:t>EFO D; sin votación.</w:t>
            </w:r>
          </w:p>
        </w:tc>
      </w:tr>
      <w:tr>
        <w:trPr>
          <w:trHeight w:hRule="atLeast"/>
        </w:trPr>
        <w:tc>
          <w:tcPr>
            <w:tcW w:type="dxa" w:w="936"/>
            <w:tcMar>
              <w:top w:w="65" w:type="dxa"/>
              <w:start w:w="75" w:type="dxa"/>
              <w:bottom w:w="65" w:type="dxa"/>
              <w:end w:w="75" w:type="dxa"/>
            </w:tcMar>
            <w:vAlign w:val="top"/>
          </w:tcPr>
          <w:p>
            <w:pPr>
              <w:keepLines/>
              <w:spacing w:after="0"/>
            </w:pPr>
            <w:r>
              <w:t>AC77</w:t>
            </w:r>
          </w:p>
        </w:tc>
        <w:tc>
          <w:tcPr>
            <w:tcW w:type="dxa" w:w="3672"/>
            <w:tcMar>
              <w:top w:w="65" w:type="dxa"/>
              <w:start w:w="75" w:type="dxa"/>
              <w:bottom w:w="65" w:type="dxa"/>
              <w:end w:w="75" w:type="dxa"/>
            </w:tcMar>
            <w:vAlign w:val="top"/>
          </w:tcPr>
          <w:p>
            <w:pPr>
              <w:keepLines/>
              <w:spacing w:after="0"/>
            </w:pPr>
            <w:r>
              <w:t>Muchos KPI dependientes F vs un DIRECT D</w:t>
            </w:r>
          </w:p>
        </w:tc>
        <w:tc>
          <w:tcPr>
            <w:tcW w:type="dxa" w:w="5472"/>
            <w:tcMar>
              <w:top w:w="65" w:type="dxa"/>
              <w:start w:w="75" w:type="dxa"/>
              <w:bottom w:w="65" w:type="dxa"/>
              <w:end w:w="75" w:type="dxa"/>
            </w:tcMar>
            <w:vAlign w:val="top"/>
          </w:tcPr>
          <w:p>
            <w:pPr>
              <w:keepLines/>
              <w:spacing w:after="0"/>
            </w:pPr>
            <w:r>
              <w:t>No usar conteo; resolver por grupos/proximidad.</w:t>
            </w:r>
          </w:p>
        </w:tc>
      </w:tr>
      <w:tr>
        <w:trPr>
          <w:trHeight w:hRule="atLeast"/>
        </w:trPr>
        <w:tc>
          <w:tcPr>
            <w:tcW w:type="dxa" w:w="936"/>
            <w:tcMar>
              <w:top w:w="65" w:type="dxa"/>
              <w:start w:w="75" w:type="dxa"/>
              <w:bottom w:w="65" w:type="dxa"/>
              <w:end w:w="75" w:type="dxa"/>
            </w:tcMar>
            <w:vAlign w:val="top"/>
          </w:tcPr>
          <w:p>
            <w:pPr>
              <w:keepLines/>
              <w:spacing w:after="0"/>
            </w:pPr>
            <w:r>
              <w:t>AC78</w:t>
            </w:r>
          </w:p>
        </w:tc>
        <w:tc>
          <w:tcPr>
            <w:tcW w:type="dxa" w:w="3672"/>
            <w:tcMar>
              <w:top w:w="65" w:type="dxa"/>
              <w:start w:w="75" w:type="dxa"/>
              <w:bottom w:w="65" w:type="dxa"/>
              <w:end w:w="75" w:type="dxa"/>
            </w:tcMar>
            <w:vAlign w:val="top"/>
          </w:tcPr>
          <w:p>
            <w:pPr>
              <w:keepLines/>
              <w:spacing w:after="0"/>
            </w:pPr>
            <w:r>
              <w:t>Cobertura baja con F observable</w:t>
            </w:r>
          </w:p>
        </w:tc>
        <w:tc>
          <w:tcPr>
            <w:tcW w:type="dxa" w:w="5472"/>
            <w:tcMar>
              <w:top w:w="65" w:type="dxa"/>
              <w:start w:w="75" w:type="dxa"/>
              <w:bottom w:w="65" w:type="dxa"/>
              <w:end w:w="75" w:type="dxa"/>
            </w:tcMar>
            <w:vAlign w:val="top"/>
          </w:tcPr>
          <w:p>
            <w:pPr>
              <w:keepLines/>
              <w:spacing w:after="0"/>
            </w:pPr>
            <w:r>
              <w:t>No presentar favorabilidad plena.</w:t>
            </w:r>
          </w:p>
        </w:tc>
      </w:tr>
      <w:tr>
        <w:trPr>
          <w:trHeight w:hRule="atLeast"/>
        </w:trPr>
        <w:tc>
          <w:tcPr>
            <w:tcW w:type="dxa" w:w="936"/>
            <w:tcMar>
              <w:top w:w="65" w:type="dxa"/>
              <w:start w:w="75" w:type="dxa"/>
              <w:bottom w:w="65" w:type="dxa"/>
              <w:end w:w="75" w:type="dxa"/>
            </w:tcMar>
            <w:vAlign w:val="top"/>
          </w:tcPr>
          <w:p>
            <w:pPr>
              <w:keepLines/>
              <w:spacing w:after="0"/>
            </w:pPr>
            <w:r>
              <w:t>AC79</w:t>
            </w:r>
          </w:p>
        </w:tc>
        <w:tc>
          <w:tcPr>
            <w:tcW w:type="dxa" w:w="3672"/>
            <w:tcMar>
              <w:top w:w="65" w:type="dxa"/>
              <w:start w:w="75" w:type="dxa"/>
              <w:bottom w:w="65" w:type="dxa"/>
              <w:end w:w="75" w:type="dxa"/>
            </w:tcMar>
            <w:vAlign w:val="top"/>
          </w:tcPr>
          <w:p>
            <w:pPr>
              <w:keepLines/>
              <w:spacing w:after="0"/>
            </w:pPr>
            <w:r>
              <w:t>Cobertura baja con D resolutivo</w:t>
            </w:r>
          </w:p>
        </w:tc>
        <w:tc>
          <w:tcPr>
            <w:tcW w:type="dxa" w:w="5472"/>
            <w:tcMar>
              <w:top w:w="65" w:type="dxa"/>
              <w:start w:w="75" w:type="dxa"/>
              <w:bottom w:w="65" w:type="dxa"/>
              <w:end w:w="75" w:type="dxa"/>
            </w:tcMar>
            <w:vAlign w:val="top"/>
          </w:tcPr>
          <w:p>
            <w:pPr>
              <w:keepLines/>
              <w:spacing w:after="0"/>
            </w:pPr>
            <w:r>
              <w:t>D puede mantenerse con limitaciones.</w:t>
            </w:r>
          </w:p>
        </w:tc>
      </w:tr>
      <w:tr>
        <w:trPr>
          <w:trHeight w:hRule="atLeast"/>
        </w:trPr>
        <w:tc>
          <w:tcPr>
            <w:tcW w:type="dxa" w:w="936"/>
            <w:tcMar>
              <w:top w:w="65" w:type="dxa"/>
              <w:start w:w="75" w:type="dxa"/>
              <w:bottom w:w="65" w:type="dxa"/>
              <w:end w:w="75" w:type="dxa"/>
            </w:tcMar>
            <w:vAlign w:val="top"/>
          </w:tcPr>
          <w:p>
            <w:pPr>
              <w:keepLines/>
              <w:spacing w:after="0"/>
            </w:pPr>
            <w:r>
              <w:t>AC80</w:t>
            </w:r>
          </w:p>
        </w:tc>
        <w:tc>
          <w:tcPr>
            <w:tcW w:type="dxa" w:w="3672"/>
            <w:tcMar>
              <w:top w:w="65" w:type="dxa"/>
              <w:start w:w="75" w:type="dxa"/>
              <w:bottom w:w="65" w:type="dxa"/>
              <w:end w:w="75" w:type="dxa"/>
            </w:tcMar>
            <w:vAlign w:val="top"/>
          </w:tcPr>
          <w:p>
            <w:pPr>
              <w:keepLines/>
              <w:spacing w:after="0"/>
            </w:pPr>
            <w:r>
              <w:t>Reconstrucción audit trail</w:t>
            </w:r>
          </w:p>
        </w:tc>
        <w:tc>
          <w:tcPr>
            <w:tcW w:type="dxa" w:w="5472"/>
            <w:tcMar>
              <w:top w:w="65" w:type="dxa"/>
              <w:start w:w="75" w:type="dxa"/>
              <w:bottom w:w="65" w:type="dxa"/>
              <w:end w:w="75" w:type="dxa"/>
            </w:tcMar>
            <w:vAlign w:val="top"/>
          </w:tcPr>
          <w:p>
            <w:pPr>
              <w:keepLines/>
              <w:spacing w:after="0"/>
            </w:pPr>
            <w:r>
              <w:t>EFO se reproduce hasta observaciones/referencias.</w:t>
            </w:r>
          </w:p>
        </w:tc>
      </w:tr>
    </w:tbl>
    <w:p>
      <w:pPr>
        <w:spacing w:after="20"/>
      </w:pPr>
    </w:p>
    <w:p>
      <w:pPr>
        <w:pStyle w:val="Heading1"/>
      </w:pPr>
      <w:r>
        <w:t>35. Acceptance gate para implementación y pilotaje</w:t>
      </w:r>
    </w:p>
    <w:p>
      <w:pPr>
        <w:pStyle w:val="ListBullet"/>
      </w:pPr>
      <w:r>
        <w:t>Los 80 invariantes están representados en validadores o pruebas automatizadas.</w:t>
      </w:r>
    </w:p>
    <w:p>
      <w:pPr>
        <w:pStyle w:val="ListBullet"/>
      </w:pPr>
      <w:r>
        <w:t>Los 80 casos de aceptación pasan en el ruleset canónico o documentan explícitamente los casos no aplicables.</w:t>
      </w:r>
    </w:p>
    <w:p>
      <w:pPr>
        <w:pStyle w:val="ListBullet"/>
      </w:pPr>
      <w:r>
        <w:t>No existe score EFO 0–100 ni promedio ponderado de dominios.</w:t>
      </w:r>
    </w:p>
    <w:p>
      <w:pPr>
        <w:pStyle w:val="ListBullet"/>
      </w:pPr>
      <w:r>
        <w:t>No existe ruta PIIO → dinero.</w:t>
      </w:r>
    </w:p>
    <w:p>
      <w:pPr>
        <w:pStyle w:val="ListBullet"/>
      </w:pPr>
      <w:r>
        <w:t>No existe ruta PIIO → Estado EFICIENCIA sin AIE.</w:t>
      </w:r>
    </w:p>
    <w:p>
      <w:pPr>
        <w:pStyle w:val="ListBullet"/>
      </w:pPr>
      <w:r>
        <w:t>Las rupturas de referencia/definición/régimen son versionadas.</w:t>
      </w:r>
    </w:p>
    <w:p>
      <w:pPr>
        <w:pStyle w:val="ListBullet"/>
      </w:pPr>
      <w:r>
        <w:t>Las tasas preservan numerador, denominador y exposición cuando están disponibles.</w:t>
      </w:r>
    </w:p>
    <w:p>
      <w:pPr>
        <w:pStyle w:val="ListBullet"/>
      </w:pPr>
      <w:r>
        <w:t>La jerarquía de nodos impide doble conteo.</w:t>
      </w:r>
    </w:p>
    <w:p>
      <w:pPr>
        <w:pStyle w:val="ListBullet"/>
      </w:pPr>
      <w:r>
        <w:t>Los fenómenos tienen IDs y versiones reutilizables por CFF/IFD.</w:t>
      </w:r>
    </w:p>
    <w:p>
      <w:pPr>
        <w:pStyle w:val="ListBullet"/>
      </w:pPr>
      <w:r>
        <w:t>Toda EFO publicada es reproducible y trazable.</w:t>
      </w:r>
    </w:p>
    <w:p>
      <w:pPr>
        <w:pStyle w:val="Heading1"/>
      </w:pPr>
      <w:r>
        <w:t>36. Genealogía y vigencia</w:t>
      </w:r>
    </w:p>
    <w:p>
      <w:r>
        <w:t>OPS fue una denominación provisional del lugar arquitectónico hoy denominado EFO; no es un componente adicional. RIE, RSC, EDO e IDO pertenecen a la genealogía metodológica y no forman parte del motor operativo vigente. Ninguna fórmula histórica debe implementarse en paralelo salvo reapertura expresa.</w:t>
      </w:r>
    </w:p>
    <w:p>
      <w:r>
        <w:t>La v1.1 no reabre esas decisiones. Su objeto es elevar PIIO al estándar de cierre aplicado a CFF e IFD, preservando el núcleo de v1.0 y resolviendo ambigüedades de implementación.</w:t>
      </w:r>
    </w:p>
    <w:p>
      <w:pPr>
        <w:pStyle w:val="Heading1"/>
      </w:pPr>
      <w:r>
        <w:t>37. Cambios de v1.0 a v1.1</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2304"/>
            <w:shd w:fill="D9E2F3"/>
            <w:tcMar>
              <w:top w:w="65" w:type="dxa"/>
              <w:start w:w="75" w:type="dxa"/>
              <w:bottom w:w="65" w:type="dxa"/>
              <w:end w:w="75" w:type="dxa"/>
            </w:tcMar>
          </w:tcPr>
          <w:p>
            <w:pPr>
              <w:spacing w:after="0"/>
            </w:pPr>
            <w:r>
              <w:rPr>
                <w:b/>
              </w:rPr>
              <w:t>Área</w:t>
            </w:r>
          </w:p>
        </w:tc>
        <w:tc>
          <w:tcPr>
            <w:tcW w:type="dxa" w:w="7776"/>
            <w:shd w:fill="D9E2F3"/>
            <w:tcMar>
              <w:top w:w="65" w:type="dxa"/>
              <w:start w:w="75" w:type="dxa"/>
              <w:bottom w:w="65" w:type="dxa"/>
              <w:end w:w="75" w:type="dxa"/>
            </w:tcMar>
          </w:tcPr>
          <w:p>
            <w:pPr>
              <w:spacing w:after="0"/>
            </w:pPr>
            <w:r>
              <w:rPr>
                <w:b/>
              </w:rPr>
              <w:t>Depuración v1.1</w:t>
            </w:r>
          </w:p>
        </w:tc>
      </w:tr>
      <w:tr>
        <w:trPr>
          <w:trHeight w:hRule="atLeast"/>
        </w:trPr>
        <w:tc>
          <w:tcPr>
            <w:tcW w:type="dxa" w:w="2304"/>
            <w:tcMar>
              <w:top w:w="65" w:type="dxa"/>
              <w:start w:w="75" w:type="dxa"/>
              <w:bottom w:w="65" w:type="dxa"/>
              <w:end w:w="75" w:type="dxa"/>
            </w:tcMar>
            <w:vAlign w:val="top"/>
          </w:tcPr>
          <w:p>
            <w:pPr>
              <w:keepLines/>
              <w:spacing w:after="0"/>
            </w:pPr>
            <w:r>
              <w:t>Fenómenos</w:t>
            </w:r>
          </w:p>
        </w:tc>
        <w:tc>
          <w:tcPr>
            <w:tcW w:type="dxa" w:w="7776"/>
            <w:tcMar>
              <w:top w:w="65" w:type="dxa"/>
              <w:start w:w="75" w:type="dxa"/>
              <w:bottom w:w="65" w:type="dxa"/>
              <w:end w:w="75" w:type="dxa"/>
            </w:tcMar>
            <w:vAlign w:val="top"/>
          </w:tcPr>
          <w:p>
            <w:pPr>
              <w:keepLines/>
              <w:spacing w:after="0"/>
            </w:pPr>
            <w:r>
              <w:t>Catálogo versionado y contrato de fenómeno provisional compatible.</w:t>
            </w:r>
          </w:p>
        </w:tc>
      </w:tr>
      <w:tr>
        <w:trPr>
          <w:trHeight w:hRule="atLeast"/>
        </w:trPr>
        <w:tc>
          <w:tcPr>
            <w:tcW w:type="dxa" w:w="2304"/>
            <w:tcMar>
              <w:top w:w="65" w:type="dxa"/>
              <w:start w:w="75" w:type="dxa"/>
              <w:bottom w:w="65" w:type="dxa"/>
              <w:end w:w="75" w:type="dxa"/>
            </w:tcMar>
            <w:vAlign w:val="top"/>
          </w:tcPr>
          <w:p>
            <w:pPr>
              <w:keepLines/>
              <w:spacing w:after="0"/>
            </w:pPr>
            <w:r>
              <w:t>Métricas</w:t>
            </w:r>
          </w:p>
        </w:tc>
        <w:tc>
          <w:tcPr>
            <w:tcW w:type="dxa" w:w="7776"/>
            <w:tcMar>
              <w:top w:w="65" w:type="dxa"/>
              <w:start w:w="75" w:type="dxa"/>
              <w:bottom w:w="65" w:type="dxa"/>
              <w:end w:w="75" w:type="dxa"/>
            </w:tcMar>
            <w:vAlign w:val="top"/>
          </w:tcPr>
          <w:p>
            <w:pPr>
              <w:keepLines/>
              <w:spacing w:after="0"/>
            </w:pPr>
            <w:r>
              <w:t>Contrato explícito de numerador, denominador, exposición, frecuencia, recurrencia y límites.</w:t>
            </w:r>
          </w:p>
        </w:tc>
      </w:tr>
      <w:tr>
        <w:trPr>
          <w:trHeight w:hRule="atLeast"/>
        </w:trPr>
        <w:tc>
          <w:tcPr>
            <w:tcW w:type="dxa" w:w="2304"/>
            <w:tcMar>
              <w:top w:w="65" w:type="dxa"/>
              <w:start w:w="75" w:type="dxa"/>
              <w:bottom w:w="65" w:type="dxa"/>
              <w:end w:w="75" w:type="dxa"/>
            </w:tcMar>
            <w:vAlign w:val="top"/>
          </w:tcPr>
          <w:p>
            <w:pPr>
              <w:keepLines/>
              <w:spacing w:after="0"/>
            </w:pPr>
            <w:r>
              <w:t>Temporalidad</w:t>
            </w:r>
          </w:p>
        </w:tc>
        <w:tc>
          <w:tcPr>
            <w:tcW w:type="dxa" w:w="7776"/>
            <w:tcMar>
              <w:top w:w="65" w:type="dxa"/>
              <w:start w:w="75" w:type="dxa"/>
              <w:bottom w:w="65" w:type="dxa"/>
              <w:end w:w="75" w:type="dxa"/>
            </w:tcMar>
            <w:vAlign w:val="top"/>
          </w:tcPr>
          <w:p>
            <w:pPr>
              <w:keepLines/>
              <w:spacing w:after="0"/>
            </w:pPr>
            <w:r>
              <w:t>Separación de patrón, estabilidad, régimen, shocks, freshness y continuidad.</w:t>
            </w:r>
          </w:p>
        </w:tc>
      </w:tr>
      <w:tr>
        <w:trPr>
          <w:trHeight w:hRule="atLeast"/>
        </w:trPr>
        <w:tc>
          <w:tcPr>
            <w:tcW w:type="dxa" w:w="2304"/>
            <w:tcMar>
              <w:top w:w="65" w:type="dxa"/>
              <w:start w:w="75" w:type="dxa"/>
              <w:bottom w:w="65" w:type="dxa"/>
              <w:end w:w="75" w:type="dxa"/>
            </w:tcMar>
            <w:vAlign w:val="top"/>
          </w:tcPr>
          <w:p>
            <w:pPr>
              <w:keepLines/>
              <w:spacing w:after="0"/>
            </w:pPr>
            <w:r>
              <w:t>Nodos</w:t>
            </w:r>
          </w:p>
        </w:tc>
        <w:tc>
          <w:tcPr>
            <w:tcW w:type="dxa" w:w="7776"/>
            <w:tcMar>
              <w:top w:w="65" w:type="dxa"/>
              <w:start w:w="75" w:type="dxa"/>
              <w:bottom w:w="65" w:type="dxa"/>
              <w:end w:w="75" w:type="dxa"/>
            </w:tcMar>
            <w:vAlign w:val="top"/>
          </w:tcPr>
          <w:p>
            <w:pPr>
              <w:keepLines/>
              <w:spacing w:after="0"/>
            </w:pPr>
            <w:r>
              <w:t>Jerarquía, node sets mutuamente excluyentes y reglas de agregación.</w:t>
            </w:r>
          </w:p>
        </w:tc>
      </w:tr>
      <w:tr>
        <w:trPr>
          <w:trHeight w:hRule="atLeast"/>
        </w:trPr>
        <w:tc>
          <w:tcPr>
            <w:tcW w:type="dxa" w:w="2304"/>
            <w:tcMar>
              <w:top w:w="65" w:type="dxa"/>
              <w:start w:w="75" w:type="dxa"/>
              <w:bottom w:w="65" w:type="dxa"/>
              <w:end w:w="75" w:type="dxa"/>
            </w:tcMar>
            <w:vAlign w:val="top"/>
          </w:tcPr>
          <w:p>
            <w:pPr>
              <w:keepLines/>
              <w:spacing w:after="0"/>
            </w:pPr>
            <w:r>
              <w:t>Tasas</w:t>
            </w:r>
          </w:p>
        </w:tc>
        <w:tc>
          <w:tcPr>
            <w:tcW w:type="dxa" w:w="7776"/>
            <w:tcMar>
              <w:top w:w="65" w:type="dxa"/>
              <w:start w:w="75" w:type="dxa"/>
              <w:bottom w:w="65" w:type="dxa"/>
              <w:end w:w="75" w:type="dxa"/>
            </w:tcMar>
            <w:vAlign w:val="top"/>
          </w:tcPr>
          <w:p>
            <w:pPr>
              <w:keepLines/>
              <w:spacing w:after="0"/>
            </w:pPr>
            <w:r>
              <w:t>Prohibición de promedio simple como regla universal; recomputación desde exposición.</w:t>
            </w:r>
          </w:p>
        </w:tc>
      </w:tr>
      <w:tr>
        <w:trPr>
          <w:trHeight w:hRule="atLeast"/>
        </w:trPr>
        <w:tc>
          <w:tcPr>
            <w:tcW w:type="dxa" w:w="2304"/>
            <w:tcMar>
              <w:top w:w="65" w:type="dxa"/>
              <w:start w:w="75" w:type="dxa"/>
              <w:bottom w:w="65" w:type="dxa"/>
              <w:end w:w="75" w:type="dxa"/>
            </w:tcMar>
            <w:vAlign w:val="top"/>
          </w:tcPr>
          <w:p>
            <w:pPr>
              <w:keepLines/>
              <w:spacing w:after="0"/>
            </w:pPr>
            <w:r>
              <w:t>Estados</w:t>
            </w:r>
          </w:p>
        </w:tc>
        <w:tc>
          <w:tcPr>
            <w:tcW w:type="dxa" w:w="7776"/>
            <w:tcMar>
              <w:top w:w="65" w:type="dxa"/>
              <w:start w:w="75" w:type="dxa"/>
              <w:bottom w:w="65" w:type="dxa"/>
              <w:end w:w="75" w:type="dxa"/>
            </w:tcMar>
            <w:vAlign w:val="top"/>
          </w:tcPr>
          <w:p>
            <w:pPr>
              <w:keepLines/>
              <w:spacing w:after="0"/>
            </w:pPr>
            <w:r>
              <w:t>Enums canónicos y propagación por dependencias.</w:t>
            </w:r>
          </w:p>
        </w:tc>
      </w:tr>
      <w:tr>
        <w:trPr>
          <w:trHeight w:hRule="atLeast"/>
        </w:trPr>
        <w:tc>
          <w:tcPr>
            <w:tcW w:type="dxa" w:w="2304"/>
            <w:tcMar>
              <w:top w:w="65" w:type="dxa"/>
              <w:start w:w="75" w:type="dxa"/>
              <w:bottom w:w="65" w:type="dxa"/>
              <w:end w:w="75" w:type="dxa"/>
            </w:tcMar>
            <w:vAlign w:val="top"/>
          </w:tcPr>
          <w:p>
            <w:pPr>
              <w:keepLines/>
              <w:spacing w:after="0"/>
            </w:pPr>
            <w:r>
              <w:t>Nullability</w:t>
            </w:r>
          </w:p>
        </w:tc>
        <w:tc>
          <w:tcPr>
            <w:tcW w:type="dxa" w:w="7776"/>
            <w:tcMar>
              <w:top w:w="65" w:type="dxa"/>
              <w:start w:w="75" w:type="dxa"/>
              <w:bottom w:w="65" w:type="dxa"/>
              <w:end w:w="75" w:type="dxa"/>
            </w:tcMar>
            <w:vAlign w:val="top"/>
          </w:tcPr>
          <w:p>
            <w:pPr>
              <w:keepLines/>
              <w:spacing w:after="0"/>
            </w:pPr>
            <w:r>
              <w:t>0, missing, N_A y null quedan semánticamente separados.</w:t>
            </w:r>
          </w:p>
        </w:tc>
      </w:tr>
      <w:tr>
        <w:trPr>
          <w:trHeight w:hRule="atLeast"/>
        </w:trPr>
        <w:tc>
          <w:tcPr>
            <w:tcW w:type="dxa" w:w="2304"/>
            <w:tcMar>
              <w:top w:w="65" w:type="dxa"/>
              <w:start w:w="75" w:type="dxa"/>
              <w:bottom w:w="65" w:type="dxa"/>
              <w:end w:w="75" w:type="dxa"/>
            </w:tcMar>
            <w:vAlign w:val="top"/>
          </w:tcPr>
          <w:p>
            <w:pPr>
              <w:keepLines/>
              <w:spacing w:after="0"/>
            </w:pPr>
            <w:r>
              <w:t>Versionamiento</w:t>
            </w:r>
          </w:p>
        </w:tc>
        <w:tc>
          <w:tcPr>
            <w:tcW w:type="dxa" w:w="7776"/>
            <w:tcMar>
              <w:top w:w="65" w:type="dxa"/>
              <w:start w:w="75" w:type="dxa"/>
              <w:bottom w:w="65" w:type="dxa"/>
              <w:end w:w="75" w:type="dxa"/>
            </w:tcMar>
            <w:vAlign w:val="top"/>
          </w:tcPr>
          <w:p>
            <w:pPr>
              <w:keepLines/>
              <w:spacing w:after="0"/>
            </w:pPr>
            <w:r>
              <w:t>PIIO_RUN, snapshots, ruleset, catálogos, referencias y definiciones.</w:t>
            </w:r>
          </w:p>
        </w:tc>
      </w:tr>
      <w:tr>
        <w:trPr>
          <w:trHeight w:hRule="atLeast"/>
        </w:trPr>
        <w:tc>
          <w:tcPr>
            <w:tcW w:type="dxa" w:w="2304"/>
            <w:tcMar>
              <w:top w:w="65" w:type="dxa"/>
              <w:start w:w="75" w:type="dxa"/>
              <w:bottom w:w="65" w:type="dxa"/>
              <w:end w:w="75" w:type="dxa"/>
            </w:tcMar>
            <w:vAlign w:val="top"/>
          </w:tcPr>
          <w:p>
            <w:pPr>
              <w:keepLines/>
              <w:spacing w:after="0"/>
            </w:pPr>
            <w:r>
              <w:t>Trazabilidad</w:t>
            </w:r>
          </w:p>
        </w:tc>
        <w:tc>
          <w:tcPr>
            <w:tcW w:type="dxa" w:w="7776"/>
            <w:tcMar>
              <w:top w:w="65" w:type="dxa"/>
              <w:start w:w="75" w:type="dxa"/>
              <w:bottom w:w="65" w:type="dxa"/>
              <w:end w:w="75" w:type="dxa"/>
            </w:tcMar>
            <w:vAlign w:val="top"/>
          </w:tcPr>
          <w:p>
            <w:pPr>
              <w:keepLines/>
              <w:spacing w:after="0"/>
            </w:pPr>
            <w:r>
              <w:t>TRACE_PATH completo hasta observaciones originales.</w:t>
            </w:r>
          </w:p>
        </w:tc>
      </w:tr>
      <w:tr>
        <w:trPr>
          <w:trHeight w:hRule="atLeast"/>
        </w:trPr>
        <w:tc>
          <w:tcPr>
            <w:tcW w:type="dxa" w:w="2304"/>
            <w:tcMar>
              <w:top w:w="65" w:type="dxa"/>
              <w:start w:w="75" w:type="dxa"/>
              <w:bottom w:w="65" w:type="dxa"/>
              <w:end w:w="75" w:type="dxa"/>
            </w:tcMar>
            <w:vAlign w:val="top"/>
          </w:tcPr>
          <w:p>
            <w:pPr>
              <w:keepLines/>
              <w:spacing w:after="0"/>
            </w:pPr>
            <w:r>
              <w:t>Interoperabilidad</w:t>
            </w:r>
          </w:p>
        </w:tc>
        <w:tc>
          <w:tcPr>
            <w:tcW w:type="dxa" w:w="7776"/>
            <w:tcMar>
              <w:top w:w="65" w:type="dxa"/>
              <w:start w:w="75" w:type="dxa"/>
              <w:bottom w:w="65" w:type="dxa"/>
              <w:end w:w="75" w:type="dxa"/>
            </w:tcMar>
            <w:vAlign w:val="top"/>
          </w:tcPr>
          <w:p>
            <w:pPr>
              <w:keepLines/>
              <w:spacing w:after="0"/>
            </w:pPr>
            <w:r>
              <w:t>Contrato explícito PIIO → CFF/IFD sin invasión de lógica económica/predictiva.</w:t>
            </w:r>
          </w:p>
        </w:tc>
      </w:tr>
      <w:tr>
        <w:trPr>
          <w:trHeight w:hRule="atLeast"/>
        </w:trPr>
        <w:tc>
          <w:tcPr>
            <w:tcW w:type="dxa" w:w="2304"/>
            <w:tcMar>
              <w:top w:w="65" w:type="dxa"/>
              <w:start w:w="75" w:type="dxa"/>
              <w:bottom w:w="65" w:type="dxa"/>
              <w:end w:w="75" w:type="dxa"/>
            </w:tcMar>
            <w:vAlign w:val="top"/>
          </w:tcPr>
          <w:p>
            <w:pPr>
              <w:keepLines/>
              <w:spacing w:after="0"/>
            </w:pPr>
            <w:r>
              <w:t>Validación</w:t>
            </w:r>
          </w:p>
        </w:tc>
        <w:tc>
          <w:tcPr>
            <w:tcW w:type="dxa" w:w="7776"/>
            <w:tcMar>
              <w:top w:w="65" w:type="dxa"/>
              <w:start w:w="75" w:type="dxa"/>
              <w:bottom w:w="65" w:type="dxa"/>
              <w:end w:w="75" w:type="dxa"/>
            </w:tcMar>
            <w:vAlign w:val="top"/>
          </w:tcPr>
          <w:p>
            <w:pPr>
              <w:keepLines/>
              <w:spacing w:after="0"/>
            </w:pPr>
            <w:r>
              <w:t>80 invariantes + 80 pruebas de estrés/aceptación.</w:t>
            </w:r>
          </w:p>
        </w:tc>
      </w:tr>
    </w:tbl>
    <w:p>
      <w:pPr>
        <w:spacing w:after="20"/>
      </w:pPr>
    </w:p>
    <w:p>
      <w:pPr>
        <w:pStyle w:val="Heading1"/>
      </w:pPr>
      <w:r>
        <w:t>38. Cierre técnico</w:t>
      </w:r>
    </w:p>
    <w:p>
      <w:r>
        <w:t>La auditoría confirma que el núcleo conceptual de PIIO v1.0 era sólido: separación de familias, EFO no aritmética, control de independencia, precedencia DIRECT/PROXY, CORE/SUPPORTING, REQUIRED/OPTIONAL, posición/trayectoria/persistencia y preservación de nodos. La v1.1 no sustituye ese núcleo; lo convierte en una especificación más estricta, interoperable y directamente implementable.</w:t>
      </w:r>
    </w:p>
    <w:p>
      <w:pPr>
        <w:jc w:val="center"/>
      </w:pPr>
      <w:r>
        <w:rPr>
          <w:b/>
        </w:rPr>
        <w:t>OBSERVACIÓN → KPI_STATE → EVIDENCE_GROUP → PHENOMENON_STATE → DOMAIN_STATE → EFO_STATE → AIE</w:t>
      </w:r>
    </w:p>
    <w:p>
      <w:pPr>
        <w:jc w:val="center"/>
      </w:pPr>
      <w:r>
        <w:rPr>
          <w:b/>
        </w:rPr>
        <w:t>PIIO → EFO     PIIO → datos operativos trazables → CFF / IFD</w:t>
      </w:r>
    </w:p>
    <w:p>
      <w:pPr>
        <w:spacing w:before="100" w:after="140"/>
        <w:ind w:left="360" w:right="288"/>
      </w:pPr>
      <w:r>
        <w:rPr>
          <w:b/>
        </w:rPr>
        <w:t>PIIO v1.1 FINAL queda cerrado como especificación canónica para implementación y pilotaje técnico, sujeto a validación empírica y control de versiones.</w:t>
      </w:r>
    </w:p>
    <w:sectPr w:rsidR="00FC693F" w:rsidRPr="0006063C" w:rsidSect="00034616">
      <w:footerReference w:type="default" r:id="rId9"/>
      <w:headerReference w:type="default" r:id="rId10"/>
      <w:pgSz w:w="12240" w:h="15840"/>
      <w:pgMar w:top="1037" w:right="1037"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EFICIENCIA · Documento Técnico PIIO v1.1 FINAL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7"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Aptos" w:hAnsi="Aptos"/>
      <w:b w:val="0"/>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echnicalBlock">
    <w:name w:val="Technical Block"/>
    <w:pPr>
      <w:spacing w:before="60" w:after="100"/>
      <w:ind w:left="288" w:right="144"/>
    </w:pPr>
    <w:rPr>
      <w:rFonts w:ascii="Consolas" w:hAnsi="Consolas"/>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