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SISTEMA EFICIENCIA</w:t>
      </w:r>
    </w:p>
    <w:p>
      <w:pPr>
        <w:jc w:val="center"/>
      </w:pPr>
      <w:r>
        <w:rPr>
          <w:b/>
          <w:sz w:val="52"/>
        </w:rPr>
        <w:t>DOCUMENTO TÉCNICO IFD</w:t>
      </w:r>
    </w:p>
    <w:p>
      <w:pPr>
        <w:jc w:val="center"/>
      </w:pPr>
      <w:r>
        <w:rPr>
          <w:b/>
          <w:sz w:val="36"/>
        </w:rPr>
        <w:t>Impacto Futuro del Deterioro</w:t>
      </w:r>
    </w:p>
    <w:p>
      <w:pPr>
        <w:jc w:val="center"/>
      </w:pPr>
      <w:r>
        <w:rPr>
          <w:rFonts w:ascii="Aptos" w:hAnsi="Aptos"/>
          <w:sz w:val="20"/>
        </w:rPr>
        <w:t>Especificación Integral y Motor de Cálculo — Documento Técnico Integral y Autocontenido</w:t>
      </w:r>
    </w:p>
    <w:p/>
    <w:p>
      <w:pPr>
        <w:jc w:val="center"/>
      </w:pPr>
      <w:r>
        <w:rPr>
          <w:b/>
        </w:rPr>
        <w:t>Documento canónico de especificación pre-piloto</w:t>
      </w:r>
    </w:p>
    <w:p>
      <w:pPr>
        <w:jc w:val="center"/>
      </w:pPr>
      <w:r>
        <w:t>Estado: cerrado para implementación y validación computacional; no validado empíricamente.</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2F3"/>
          </w:tcPr>
          <w:p>
            <w:r/>
            <w:r>
              <w:rPr>
                <w:b/>
                <w:sz w:val="18"/>
              </w:rPr>
              <w:t>Campo</w:t>
            </w:r>
          </w:p>
        </w:tc>
        <w:tc>
          <w:tcPr>
            <w:tcW w:type="dxa" w:w="4896"/>
            <w:shd w:fill="D9E2F3"/>
          </w:tcPr>
          <w:p>
            <w:r/>
            <w:r>
              <w:rPr>
                <w:b/>
                <w:sz w:val="18"/>
              </w:rPr>
              <w:t>Estado</w:t>
            </w:r>
          </w:p>
        </w:tc>
      </w:tr>
      <w:tr>
        <w:tc>
          <w:tcPr>
            <w:tcW w:type="dxa" w:w="4896"/>
          </w:tcPr>
          <w:p>
            <w:r/>
            <w:r>
              <w:rPr>
                <w:b/>
                <w:sz w:val="18"/>
              </w:rPr>
              <w:t>Instrumento</w:t>
            </w:r>
          </w:p>
        </w:tc>
        <w:tc>
          <w:tcPr>
            <w:tcW w:type="dxa" w:w="4896"/>
          </w:tcPr>
          <w:p>
            <w:r/>
            <w:r>
              <w:rPr>
                <w:b w:val="0"/>
                <w:sz w:val="18"/>
              </w:rPr>
              <w:t>IFD — Impacto Futuro del Deterioro</w:t>
            </w:r>
          </w:p>
        </w:tc>
      </w:tr>
      <w:tr>
        <w:tc>
          <w:tcPr>
            <w:tcW w:type="dxa" w:w="4896"/>
          </w:tcPr>
          <w:p>
            <w:r/>
            <w:r>
              <w:rPr>
                <w:b/>
                <w:sz w:val="18"/>
              </w:rPr>
              <w:t>Versión</w:t>
            </w:r>
          </w:p>
        </w:tc>
        <w:tc>
          <w:tcPr>
            <w:tcW w:type="dxa" w:w="4896"/>
          </w:tcPr>
          <w:p>
            <w:r>
              <w:t>1.2.2 PRE-PILOTO — DOCUMENTO TÉCNICO INTEGRAL</w:t>
            </w:r>
          </w:p>
        </w:tc>
      </w:tr>
      <w:tr>
        <w:tc>
          <w:tcPr>
            <w:tcW w:type="dxa" w:w="4896"/>
          </w:tcPr>
          <w:p>
            <w:r/>
            <w:r>
              <w:rPr>
                <w:b/>
                <w:sz w:val="18"/>
              </w:rPr>
              <w:t>Naturaleza</w:t>
            </w:r>
          </w:p>
        </w:tc>
        <w:tc>
          <w:tcPr>
            <w:tcW w:type="dxa" w:w="4896"/>
          </w:tcPr>
          <w:p>
            <w:r/>
            <w:r>
              <w:rPr>
                <w:b w:val="0"/>
                <w:sz w:val="18"/>
              </w:rPr>
              <w:t>Instrumento prospectivo de inferencia condicionada por evidencia</w:t>
            </w:r>
          </w:p>
        </w:tc>
      </w:tr>
      <w:tr>
        <w:tc>
          <w:tcPr>
            <w:tcW w:type="dxa" w:w="4896"/>
          </w:tcPr>
          <w:p>
            <w:r/>
            <w:r>
              <w:rPr>
                <w:b/>
                <w:sz w:val="18"/>
              </w:rPr>
              <w:t>Estado conceptual</w:t>
            </w:r>
          </w:p>
        </w:tc>
        <w:tc>
          <w:tcPr>
            <w:tcW w:type="dxa" w:w="4896"/>
          </w:tcPr>
          <w:p>
            <w:r/>
            <w:r>
              <w:rPr>
                <w:b w:val="0"/>
                <w:sz w:val="18"/>
              </w:rPr>
              <w:t>Cerrado pre-piloto</w:t>
            </w:r>
          </w:p>
        </w:tc>
      </w:tr>
      <w:tr>
        <w:tc>
          <w:tcPr>
            <w:tcW w:type="dxa" w:w="4896"/>
          </w:tcPr>
          <w:p>
            <w:r/>
            <w:r>
              <w:rPr>
                <w:b/>
                <w:sz w:val="18"/>
              </w:rPr>
              <w:t>Motor</w:t>
            </w:r>
          </w:p>
        </w:tc>
        <w:tc>
          <w:tcPr>
            <w:tcW w:type="dxa" w:w="4896"/>
          </w:tcPr>
          <w:p>
            <w:r>
              <w:t>Especificado; prototipo de referencia contrastado para atribución categórica</w:t>
            </w:r>
          </w:p>
        </w:tc>
      </w:tr>
      <w:tr>
        <w:tc>
          <w:tcPr>
            <w:tcW w:type="dxa" w:w="4896"/>
          </w:tcPr>
          <w:p>
            <w:r/>
            <w:r>
              <w:rPr>
                <w:b/>
                <w:sz w:val="18"/>
              </w:rPr>
              <w:t>Validación computacional</w:t>
            </w:r>
          </w:p>
        </w:tc>
        <w:tc>
          <w:tcPr>
            <w:tcW w:type="dxa" w:w="4896"/>
          </w:tcPr>
          <w:p>
            <w:r>
              <w:t>Primera batería sintética + regresión específica de atribución categórica superadas</w:t>
            </w:r>
          </w:p>
        </w:tc>
      </w:tr>
      <w:tr>
        <w:tc>
          <w:tcPr>
            <w:tcW w:type="dxa" w:w="4896"/>
          </w:tcPr>
          <w:p>
            <w:r/>
            <w:r>
              <w:rPr>
                <w:b/>
                <w:sz w:val="18"/>
              </w:rPr>
              <w:t>Validación empírica</w:t>
            </w:r>
          </w:p>
        </w:tc>
        <w:tc>
          <w:tcPr>
            <w:tcW w:type="dxa" w:w="4896"/>
          </w:tcPr>
          <w:p>
            <w:r>
              <w:t>Pendiente de piloto</w:t>
            </w:r>
          </w:p>
        </w:tc>
      </w:tr>
      <w:tr>
        <w:tc>
          <w:tcPr>
            <w:tcW w:type="dxa" w:w="4896"/>
          </w:tcPr>
          <w:p>
            <w:r/>
            <w:r>
              <w:rPr>
                <w:b/>
                <w:sz w:val="18"/>
              </w:rPr>
              <w:t>Documento sustituido</w:t>
            </w:r>
          </w:p>
        </w:tc>
        <w:tc>
          <w:tcPr>
            <w:tcW w:type="dxa" w:w="4896"/>
          </w:tcPr>
          <w:p>
            <w:r/>
            <w:r>
              <w:rPr>
                <w:b w:val="0"/>
                <w:sz w:val="18"/>
              </w:rPr>
              <w:t>Borradores IFD v1.0/v1.1; IFT queda como antecedente genealógico</w:t>
            </w:r>
          </w:p>
        </w:tc>
      </w:tr>
      <w:tr>
        <w:tc>
          <w:tcPr>
            <w:tcW w:type="dxa" w:w="4896"/>
          </w:tcPr>
          <w:p>
            <w:r>
              <w:t>Relación CFF ↔ IFD</w:t>
            </w:r>
          </w:p>
        </w:tc>
        <w:tc>
          <w:tcPr>
            <w:tcW w:type="dxa" w:w="4896"/>
          </w:tcPr>
          <w:p>
            <w:r>
              <w:t>CERRADA: raíz de evidencia común sin dependencia aritmética; CFF × H ≠ IFD</w:t>
            </w:r>
          </w:p>
        </w:tc>
      </w:tr>
      <w:tr>
        <w:tc>
          <w:tcPr>
            <w:tcW w:type="dxa" w:w="4896"/>
          </w:tcPr>
          <w:p>
            <w:r>
              <w:t>Atribución</w:t>
            </w:r>
          </w:p>
        </w:tc>
        <w:tc>
          <w:tcPr>
            <w:tcW w:type="dxa" w:w="4896"/>
          </w:tcPr>
          <w:p>
            <w:r>
              <w:t>CERRADA: CONFIRMED | SUPPORTED | UNRESOLVED | N_A; nunca coeficiente</w:t>
            </w:r>
          </w:p>
        </w:tc>
      </w:tr>
      <w:tr>
        <w:tc>
          <w:tcPr>
            <w:tcW w:type="dxa" w:w="4896"/>
          </w:tcPr>
          <w:p>
            <w:r>
              <w:t>Salidas heredadas IFT</w:t>
            </w:r>
          </w:p>
        </w:tc>
        <w:tc>
          <w:tcPr>
            <w:tcW w:type="dxa" w:w="4896"/>
          </w:tcPr>
          <w:p>
            <w:r>
              <w:t>CFD / CFR / VER / ROI_P / TRE — migración pendiente de auditoría histórica contra IFT v1.0 FINAL</w:t>
            </w:r>
          </w:p>
        </w:tc>
      </w:tr>
      <w:tr>
        <w:tc>
          <w:tcPr>
            <w:tcW w:type="dxa" w:w="4896"/>
          </w:tcPr>
          <w:p>
            <w:r>
              <w:t>Sustituye</w:t>
            </w:r>
          </w:p>
        </w:tc>
        <w:tc>
          <w:tcPr>
            <w:tcW w:type="dxa" w:w="4896"/>
          </w:tcPr>
          <w:p>
            <w:r>
              <w:t>IFD v1.2, v1.2.1 (especificación íntegra) y v1.2.1 CONSOLIDADO (cierre parcial de 500 líneas) — esta vez de forma completa y autocontenida.</w:t>
            </w:r>
          </w:p>
        </w:tc>
      </w:tr>
    </w:tbl>
    <w:p>
      <w:pPr>
        <w:pStyle w:val="Heading1"/>
      </w:pPr>
      <w:r>
        <w:t>0. Alcance y regla de lectura</w:t>
      </w:r>
    </w:p>
    <w:p>
      <w:pPr/>
      <w:r>
        <w:t>Esta v1.2.2 es el Documento Técnico Integral y autocontenido del IFD. Integra la especificación operativa completa de v1.2.1, el cierre metodológico CFF↔IFD y la atribución categórica. No requiere leer versiones anteriores para implementar, auditar o verificar la especificación vigente. Las únicas materias expresamente no cerradas son CFD / CFR / VER / ROI_P / TRE, cuya migración depende de recuperar y contrastar IFT v1.0 FINAL.</w:t>
      </w:r>
    </w:p>
    <w:p>
      <w:r>
        <w:rPr>
          <w:rFonts w:ascii="Aptos" w:hAnsi="Aptos"/>
          <w:b/>
          <w:sz w:val="21"/>
        </w:rPr>
        <w:t>Corrección v1.2.1. Se elimina de manera expresa toda representación de la atribución como coeficiente continuo. La atribución se clasifica únicamente como CONFIRMED | SUPPORTED | UNRESOLVED | N_A, en coherencia con la arquitectura vigente de CFF. Ninguna categoría de atribución multiplica, reduce o amplifica el valor económico.</w:t>
      </w:r>
    </w:p>
    <w:p>
      <w:r>
        <w:t>Este documento consolida en una sola especificación la arquitectura conceptual, metodológica, matemática y computacional del IFD. La genealogía IFT→IFD se conserva como anexo de trazabilidad intelectual, pero no define la arquitectura vigente.</w:t>
      </w:r>
    </w:p>
    <w:p>
      <w:pPr>
        <w:jc w:val="center"/>
      </w:pPr>
      <w:r>
        <w:rPr>
          <w:b/>
          <w:sz w:val="20"/>
        </w:rPr>
        <w:t>PROYECCIÓN ≠ PREDICCIÓN</w:t>
      </w:r>
    </w:p>
    <w:p>
      <w:pPr>
        <w:jc w:val="center"/>
      </w:pPr>
      <w:r>
        <w:rPr>
          <w:b/>
          <w:sz w:val="20"/>
        </w:rPr>
        <w:t>DIAGNÓSTICO ≠ CONSECUENCIA ≠ COSTO</w:t>
      </w:r>
    </w:p>
    <w:p>
      <w:pPr>
        <w:jc w:val="center"/>
      </w:pPr>
      <w:r>
        <w:rPr>
          <w:b/>
          <w:sz w:val="20"/>
        </w:rPr>
        <w:t>ANTE EVIDENCIA INSUFICIENTE, IFD DEBE PERDER PRECISIÓN ANTES QUE INVENTARLA.</w:t>
      </w:r>
    </w:p>
    <w:p>
      <w:pPr>
        <w:pStyle w:val="Heading1"/>
      </w:pPr>
      <w:r>
        <w:t>PARTE I — ESPECIFICACIÓN CONCEPTUAL Y METODOLÓGICA</w:t>
      </w:r>
    </w:p>
    <w:p>
      <w:pPr>
        <w:pStyle w:val="Heading2"/>
      </w:pPr>
      <w:r>
        <w:t>1. Definición y función</w:t>
      </w:r>
    </w:p>
    <w:p>
      <w:r>
        <w:rPr>
          <w:b/>
        </w:rPr>
        <w:t xml:space="preserve">Definición. </w:t>
      </w:r>
      <w:r>
        <w:t>IFD — Impacto Futuro del Deterioro es el instrumento prospectivo que proyecta escenarios sobre las consecuencias que podría producir la continuidad del deterioro, dentro de un horizonte determinado y de acuerdo con la evidencia disponible.</w:t>
      </w:r>
    </w:p>
    <w:p>
      <w:r>
        <w:rPr>
          <w:b/>
        </w:rPr>
        <w:t xml:space="preserve">Función. </w:t>
      </w:r>
      <w:r>
        <w:t>Hacer visibles posibles impactos futuros del deterioro para apoyar decisiones orientadas a evitar, reducir o contener sus consecuencias antes de que se materialicen.</w:t>
      </w:r>
    </w:p>
    <w:p>
      <w:pPr>
        <w:jc w:val="center"/>
      </w:pPr>
      <w:r>
        <w:rPr>
          <w:b/>
          <w:sz w:val="20"/>
        </w:rPr>
        <w:t>Pregunta principal: ¿qué podría ocurrir si este deterioro continúa?</w:t>
      </w:r>
    </w:p>
    <w:p>
      <w:r>
        <w:t>La pregunta económica —¿cuánto podría representar económicamente?— es posterior y condicionada. IFD puede producir una salida válida sin monetización.</w:t>
      </w:r>
    </w:p>
    <w:p>
      <w:pPr>
        <w:pStyle w:val="Heading2"/>
      </w:pPr>
      <w:r>
        <w:t>2. Naturaleza epistemológica</w:t>
      </w:r>
    </w:p>
    <w:p>
      <w:r>
        <w:t>IFD no vuelve a medir a la organización ni produce evidencia primaria. Trabaja sobre deterioros sustentados y evidencia admisible para construir inferencias prospectivas. La fuerza de la salida queda limitada por la fuerza de la evidencia y por la trazabilidad del mecanismo que conecta deterioro y consecuencia.</w:t>
      </w:r>
    </w:p>
    <w:p>
      <w:pPr>
        <w:jc w:val="center"/>
      </w:pPr>
      <w:r>
        <w:rPr>
          <w:b/>
          <w:sz w:val="20"/>
        </w:rPr>
        <w:t>IFD ≠ MEDICIÓN PRIMARIA</w:t>
      </w:r>
    </w:p>
    <w:p>
      <w:pPr>
        <w:jc w:val="center"/>
      </w:pPr>
      <w:r>
        <w:rPr>
          <w:b/>
          <w:sz w:val="20"/>
        </w:rPr>
        <w:t>IFD ≠ DIAGNÓSTICO</w:t>
      </w:r>
    </w:p>
    <w:p>
      <w:pPr>
        <w:jc w:val="center"/>
      </w:pPr>
      <w:r>
        <w:rPr>
          <w:b/>
          <w:sz w:val="20"/>
        </w:rPr>
        <w:t>IFD ≠ PREDICCIÓN</w:t>
      </w:r>
    </w:p>
    <w:p>
      <w:pPr>
        <w:jc w:val="center"/>
      </w:pPr>
      <w:r>
        <w:rPr>
          <w:b/>
          <w:sz w:val="20"/>
        </w:rPr>
        <w:t>IFD ≠ MONETIZACIÓN AUTOMÁTICA</w:t>
      </w:r>
    </w:p>
    <w:p>
      <w:pPr>
        <w:jc w:val="center"/>
      </w:pPr>
      <w:r>
        <w:rPr>
          <w:b/>
          <w:sz w:val="20"/>
        </w:rPr>
        <w:t>IFD ≠ MEDICIÓN DE LA PERSONA</w:t>
      </w:r>
    </w:p>
    <w:p>
      <w:pPr>
        <w:pStyle w:val="Heading2"/>
      </w:pPr>
      <w:r>
        <w:t>3. Posición dentro del Sistema EFICIENCIA</w:t>
      </w:r>
    </w:p>
    <w:p>
      <w:r>
        <w:t>La arquitectura diagnóstica vigente permanece separada de IFD:</w:t>
      </w:r>
    </w:p>
    <w:p>
      <w:pPr>
        <w:jc w:val="center"/>
      </w:pPr>
      <w:r>
        <w:rPr>
          <w:b/>
          <w:sz w:val="20"/>
        </w:rPr>
        <w:t>Instrumento EFICIENCIA → CFG</w:t>
      </w:r>
    </w:p>
    <w:p>
      <w:pPr>
        <w:jc w:val="center"/>
      </w:pPr>
      <w:r>
        <w:rPr>
          <w:b/>
          <w:sz w:val="20"/>
        </w:rPr>
        <w:t>SDMO → DYN</w:t>
      </w:r>
    </w:p>
    <w:p>
      <w:pPr>
        <w:jc w:val="center"/>
      </w:pPr>
      <w:r>
        <w:rPr>
          <w:b/>
          <w:sz w:val="20"/>
        </w:rPr>
        <w:t>PIIO → EFO</w:t>
      </w:r>
    </w:p>
    <w:p>
      <w:pPr>
        <w:jc w:val="center"/>
      </w:pPr>
      <w:r>
        <w:rPr>
          <w:b/>
          <w:sz w:val="20"/>
        </w:rPr>
        <w:t>CFG + DYN + EFO → AIE → ESTADO EFICIENCIA</w:t>
      </w:r>
    </w:p>
    <w:p>
      <w:r>
        <w:t>IFD utiliza el Estado EFICIENCIA como contexto diagnóstico, EFO como evidencia especialmente relevante de funcionamiento y evidencia complementaria admisible. No entra en AIE y no modifica CFG, DYN, EFO ni Estado EFICIENCIA.</w:t>
      </w:r>
    </w:p>
    <w:p>
      <w:pPr>
        <w:jc w:val="center"/>
      </w:pPr>
      <w:r>
        <w:rPr>
          <w:b/>
          <w:sz w:val="20"/>
        </w:rPr>
        <w:t>INFERENCIA PROSPECTIVA ≠ NUEVA EVIDENCIA DIAGNÓSTICA</w:t>
      </w:r>
    </w:p>
    <w:p>
      <w:pPr>
        <w:pStyle w:val="Heading2"/>
      </w:pPr>
      <w:r>
        <w:t>4. Objeto prospectivo y tipología de consecuencias</w:t>
      </w:r>
    </w:p>
    <w:p>
      <w:r>
        <w:t>IFD proyecta posibles consecuencias del deterioro sobre capacidades, operación, relevancia estratégica y economía cuando existe trazabilidad. La monetización es una rama posible, no la definición del instrumento.</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2F3"/>
          </w:tcPr>
          <w:p>
            <w:r/>
            <w:r>
              <w:rPr>
                <w:b/>
                <w:sz w:val="18"/>
              </w:rPr>
              <w:t>Tipo</w:t>
            </w:r>
          </w:p>
        </w:tc>
        <w:tc>
          <w:tcPr>
            <w:tcW w:type="dxa" w:w="3264"/>
            <w:shd w:fill="D9E2F3"/>
          </w:tcPr>
          <w:p>
            <w:r/>
            <w:r>
              <w:rPr>
                <w:b/>
                <w:sz w:val="18"/>
              </w:rPr>
              <w:t>Objeto</w:t>
            </w:r>
          </w:p>
        </w:tc>
        <w:tc>
          <w:tcPr>
            <w:tcW w:type="dxa" w:w="3264"/>
            <w:shd w:fill="D9E2F3"/>
          </w:tcPr>
          <w:p>
            <w:r/>
            <w:r>
              <w:rPr>
                <w:b/>
                <w:sz w:val="18"/>
              </w:rPr>
              <w:t>Límite</w:t>
            </w:r>
          </w:p>
        </w:tc>
      </w:tr>
      <w:tr>
        <w:tc>
          <w:tcPr>
            <w:tcW w:type="dxa" w:w="3264"/>
          </w:tcPr>
          <w:p>
            <w:r/>
            <w:r>
              <w:rPr>
                <w:b/>
                <w:sz w:val="18"/>
              </w:rPr>
              <w:t>Impacto sobre capacidades</w:t>
            </w:r>
          </w:p>
        </w:tc>
        <w:tc>
          <w:tcPr>
            <w:tcW w:type="dxa" w:w="3264"/>
          </w:tcPr>
          <w:p>
            <w:r/>
            <w:r>
              <w:rPr>
                <w:b w:val="0"/>
                <w:sz w:val="18"/>
              </w:rPr>
              <w:t>Aprendizaje, coordinación, adaptación, innovación, conocimiento, capacidad disponible</w:t>
            </w:r>
          </w:p>
        </w:tc>
        <w:tc>
          <w:tcPr>
            <w:tcW w:type="dxa" w:w="3264"/>
          </w:tcPr>
          <w:p>
            <w:r/>
            <w:r>
              <w:rPr>
                <w:b w:val="0"/>
                <w:sz w:val="18"/>
              </w:rPr>
              <w:t>No fabricar porcentajes sin indicador válido</w:t>
            </w:r>
          </w:p>
        </w:tc>
      </w:tr>
      <w:tr>
        <w:tc>
          <w:tcPr>
            <w:tcW w:type="dxa" w:w="3264"/>
          </w:tcPr>
          <w:p>
            <w:r/>
            <w:r>
              <w:rPr>
                <w:b/>
                <w:sz w:val="18"/>
              </w:rPr>
              <w:t>Impacto operativo futuro</w:t>
            </w:r>
          </w:p>
        </w:tc>
        <w:tc>
          <w:tcPr>
            <w:tcW w:type="dxa" w:w="3264"/>
          </w:tcPr>
          <w:p>
            <w:r/>
            <w:r>
              <w:rPr>
                <w:b w:val="0"/>
                <w:sz w:val="18"/>
              </w:rPr>
              <w:t>Ejecución, errores, reproceso, demoras, continuidad, consumo de capacidad</w:t>
            </w:r>
          </w:p>
        </w:tc>
        <w:tc>
          <w:tcPr>
            <w:tcW w:type="dxa" w:w="3264"/>
          </w:tcPr>
          <w:p>
            <w:r/>
            <w:r>
              <w:rPr>
                <w:b w:val="0"/>
                <w:sz w:val="18"/>
              </w:rPr>
              <w:t>No asumir costo automático</w:t>
            </w:r>
          </w:p>
        </w:tc>
      </w:tr>
      <w:tr>
        <w:tc>
          <w:tcPr>
            <w:tcW w:type="dxa" w:w="3264"/>
          </w:tcPr>
          <w:p>
            <w:r/>
            <w:r>
              <w:rPr>
                <w:b/>
                <w:sz w:val="18"/>
              </w:rPr>
              <w:t>Relevancia estratégica potencial</w:t>
            </w:r>
          </w:p>
        </w:tc>
        <w:tc>
          <w:tcPr>
            <w:tcW w:type="dxa" w:w="3264"/>
          </w:tcPr>
          <w:p>
            <w:r/>
            <w:r>
              <w:rPr>
                <w:b w:val="0"/>
                <w:sz w:val="18"/>
              </w:rPr>
              <w:t>Capacidades relevantes para ejecución/adaptación estratégica</w:t>
            </w:r>
          </w:p>
        </w:tc>
        <w:tc>
          <w:tcPr>
            <w:tcW w:type="dxa" w:w="3264"/>
          </w:tcPr>
          <w:p>
            <w:r/>
            <w:r>
              <w:rPr>
                <w:b w:val="0"/>
                <w:sz w:val="18"/>
              </w:rPr>
              <w:t>No demostrar competitividad ni ventaja</w:t>
            </w:r>
          </w:p>
        </w:tc>
      </w:tr>
      <w:tr>
        <w:tc>
          <w:tcPr>
            <w:tcW w:type="dxa" w:w="3264"/>
          </w:tcPr>
          <w:p>
            <w:r/>
            <w:r>
              <w:rPr>
                <w:b/>
                <w:sz w:val="18"/>
              </w:rPr>
              <w:t>Impacto económico futuro</w:t>
            </w:r>
          </w:p>
        </w:tc>
        <w:tc>
          <w:tcPr>
            <w:tcW w:type="dxa" w:w="3264"/>
          </w:tcPr>
          <w:p>
            <w:r/>
            <w:r>
              <w:rPr>
                <w:b w:val="0"/>
                <w:sz w:val="18"/>
              </w:rPr>
              <w:t>Consecuencias futuras económicamente valorables</w:t>
            </w:r>
          </w:p>
        </w:tc>
        <w:tc>
          <w:tcPr>
            <w:tcW w:type="dxa" w:w="3264"/>
          </w:tcPr>
          <w:p>
            <w:r/>
            <w:r>
              <w:rPr>
                <w:b w:val="0"/>
                <w:sz w:val="18"/>
              </w:rPr>
              <w:t>Solo con trazabilidad económica</w:t>
            </w:r>
          </w:p>
        </w:tc>
      </w:tr>
    </w:tbl>
    <w:p>
      <w:pPr>
        <w:pStyle w:val="Heading2"/>
      </w:pPr>
      <w:r>
        <w:t>5. Unidad de análisis prospectivo</w:t>
      </w:r>
    </w:p>
    <w:p>
      <w:r>
        <w:rPr>
          <w:b/>
        </w:rPr>
        <w:t xml:space="preserve">Definición. </w:t>
      </w:r>
      <w:r>
        <w:t>Evento Prospectivo de Deterioro (EPD): unidad analítica mediante la cual un deterioro sustentado se relaciona con una consecuencia futura plausible dentro de un horizonte y bajo supuestos explícitos.</w:t>
      </w:r>
    </w:p>
    <w:p>
      <w:r>
        <w:rPr>
          <w:b/>
        </w:rPr>
        <w:t xml:space="preserve">Función. </w:t>
      </w:r>
      <w:r>
        <w:t>Preservar la trazabilidad entre deterioro, evidencia, mecanismo, horizonte, escenario y consecuencia sin convertir el diagnóstico en una cifra futura automática.</w:t>
      </w:r>
    </w:p>
    <w:p>
      <w:pPr>
        <w:jc w:val="center"/>
      </w:pPr>
      <w:r>
        <w:rPr>
          <w:rFonts w:ascii="Cambria Math" w:hAnsi="Cambria Math"/>
          <w:b/>
          <w:sz w:val="21"/>
        </w:rPr>
        <w:t>EPDᵢ = (Dᵢ, Eᵢ, Mᵢ, Hᵢ, Sᵢ, Yᵢ)</w:t>
      </w:r>
    </w:p>
    <w:p>
      <w:r>
        <w:t>EPD es una denominación técnica interna útil para la especificación y el software; no necesita convertirse en una categoría comercial del Sistema EFICIENCIA.</w:t>
      </w:r>
    </w:p>
    <w:p>
      <w:pPr>
        <w:pStyle w:val="Heading2"/>
      </w:pPr>
      <w:r>
        <w:t>6. Puerta de admisibilidad</w:t>
      </w:r>
    </w:p>
    <w:p>
      <w:r>
        <w:t>Ninguna proyección puede comenzar si falta alguno de los elementos esenciales: deterioro sustentado, evidencia utilizable, mecanismo prospectivo razonable, horizonte definido y supuestos declarados.</w:t>
      </w:r>
    </w:p>
    <w:p>
      <w:pPr>
        <w:jc w:val="center"/>
      </w:pPr>
      <w:r>
        <w:rPr>
          <w:rFonts w:ascii="Cambria Math" w:hAnsi="Cambria Math"/>
          <w:b/>
          <w:sz w:val="21"/>
        </w:rPr>
        <w:t>Aᵢ = Dᵢ ∧ Eᵢ ∧ Mᵢ ∧ Hᵢ ∧ Sᵢ</w:t>
      </w:r>
    </w:p>
    <w:p>
      <w:pPr>
        <w:jc w:val="center"/>
      </w:pPr>
      <w:r>
        <w:rPr>
          <w:rFonts w:ascii="Cambria Math" w:hAnsi="Cambria Math"/>
          <w:b/>
          <w:sz w:val="21"/>
        </w:rPr>
        <w:t>Si Aᵢ = 0 → NO PROYECTABLE</w:t>
      </w:r>
    </w:p>
    <w:p>
      <w:r>
        <w:t>El motor no completa vacíos con coeficientes genéricos ni convierte una señal diagnóstica en proyección por conveniencia.</w:t>
      </w:r>
    </w:p>
    <w:p>
      <w:pPr>
        <w:pStyle w:val="Heading2"/>
      </w:pPr>
      <w:r>
        <w:t>7. Fuerza de la evidencia prospectiva</w:t>
      </w:r>
    </w:p>
    <w:p>
      <w:r>
        <w:t>La especificación pre-piloto utiliza cuatro dimensiones: Calidad (Q), Convergencia (C), Temporalidad (T) y Trazabilidad (R), cada una en escala 0–3. La regla es no compensatoria.</w:t>
      </w:r>
    </w:p>
    <w:p>
      <w:pPr>
        <w:jc w:val="center"/>
      </w:pPr>
      <w:r>
        <w:rPr>
          <w:rFonts w:ascii="Cambria Math" w:hAnsi="Cambria Math"/>
          <w:b/>
          <w:sz w:val="21"/>
        </w:rPr>
        <w:t>FEPᵢ = min(Qᵢ, Cᵢ, Tᵢ, Rᵢ)</w:t>
      </w:r>
    </w:p>
    <w:p>
      <w:r>
        <w:t>La sigla FEP se conserva en esta versión como identificador técnico del motor. Su permanencia como nomenclatura canónica deberá confirmarse después del piloto; lo estructural es la regla de fuerza máxima de evidencia, no la sigla.</w:t>
      </w:r>
    </w:p>
    <w:tbl>
      <w:tblPr>
        <w:tblStyle w:val="TableGrid"/>
        <w:tblW w:type="auto" w:w="0"/>
        <w:tblLook w:firstColumn="1" w:firstRow="1" w:lastColumn="0" w:lastRow="0" w:noHBand="0" w:noVBand="1" w:val="04A0"/>
      </w:tblPr>
      <w:tblGrid>
        <w:gridCol w:w="1958"/>
        <w:gridCol w:w="1958"/>
        <w:gridCol w:w="1958"/>
        <w:gridCol w:w="1958"/>
        <w:gridCol w:w="1958"/>
      </w:tblGrid>
      <w:tr>
        <w:trPr>
          <w:tblHeader w:val="true"/>
        </w:trPr>
        <w:tc>
          <w:tcPr>
            <w:tcW w:type="dxa" w:w="1958"/>
            <w:shd w:fill="D9E2F3"/>
          </w:tcPr>
          <w:p>
            <w:r/>
            <w:r>
              <w:rPr>
                <w:b/>
                <w:sz w:val="18"/>
              </w:rPr>
              <w:t>Nivel</w:t>
            </w:r>
          </w:p>
        </w:tc>
        <w:tc>
          <w:tcPr>
            <w:tcW w:type="dxa" w:w="1958"/>
            <w:shd w:fill="D9E2F3"/>
          </w:tcPr>
          <w:p>
            <w:r/>
            <w:r>
              <w:rPr>
                <w:b/>
                <w:sz w:val="18"/>
              </w:rPr>
              <w:t>Q — Calidad</w:t>
            </w:r>
          </w:p>
        </w:tc>
        <w:tc>
          <w:tcPr>
            <w:tcW w:type="dxa" w:w="1958"/>
            <w:shd w:fill="D9E2F3"/>
          </w:tcPr>
          <w:p>
            <w:r/>
            <w:r>
              <w:rPr>
                <w:b/>
                <w:sz w:val="18"/>
              </w:rPr>
              <w:t>C — Convergencia</w:t>
            </w:r>
          </w:p>
        </w:tc>
        <w:tc>
          <w:tcPr>
            <w:tcW w:type="dxa" w:w="1958"/>
            <w:shd w:fill="D9E2F3"/>
          </w:tcPr>
          <w:p>
            <w:r/>
            <w:r>
              <w:rPr>
                <w:b/>
                <w:sz w:val="18"/>
              </w:rPr>
              <w:t>T — Temporalidad</w:t>
            </w:r>
          </w:p>
        </w:tc>
        <w:tc>
          <w:tcPr>
            <w:tcW w:type="dxa" w:w="1958"/>
            <w:shd w:fill="D9E2F3"/>
          </w:tcPr>
          <w:p>
            <w:r/>
            <w:r>
              <w:rPr>
                <w:b/>
                <w:sz w:val="18"/>
              </w:rPr>
              <w:t>R — Trazabilidad</w:t>
            </w:r>
          </w:p>
        </w:tc>
      </w:tr>
      <w:tr>
        <w:tc>
          <w:tcPr>
            <w:tcW w:type="dxa" w:w="1958"/>
          </w:tcPr>
          <w:p>
            <w:r/>
            <w:r>
              <w:rPr>
                <w:b/>
                <w:sz w:val="18"/>
              </w:rPr>
              <w:t>0</w:t>
            </w:r>
          </w:p>
        </w:tc>
        <w:tc>
          <w:tcPr>
            <w:tcW w:type="dxa" w:w="1958"/>
          </w:tcPr>
          <w:p>
            <w:r/>
            <w:r>
              <w:rPr>
                <w:b w:val="0"/>
                <w:sz w:val="18"/>
              </w:rPr>
              <w:t>No verificable/materialmente insuficiente</w:t>
            </w:r>
          </w:p>
        </w:tc>
        <w:tc>
          <w:tcPr>
            <w:tcW w:type="dxa" w:w="1958"/>
          </w:tcPr>
          <w:p>
            <w:r/>
            <w:r>
              <w:rPr>
                <w:b w:val="0"/>
                <w:sz w:val="18"/>
              </w:rPr>
              <w:t>Contradicción material o dirección insostenible</w:t>
            </w:r>
          </w:p>
        </w:tc>
        <w:tc>
          <w:tcPr>
            <w:tcW w:type="dxa" w:w="1958"/>
          </w:tcPr>
          <w:p>
            <w:r/>
            <w:r>
              <w:rPr>
                <w:b w:val="0"/>
                <w:sz w:val="18"/>
              </w:rPr>
              <w:t>Sin evidencia temporal utilizable</w:t>
            </w:r>
          </w:p>
        </w:tc>
        <w:tc>
          <w:tcPr>
            <w:tcW w:type="dxa" w:w="1958"/>
          </w:tcPr>
          <w:p>
            <w:r/>
            <w:r>
              <w:rPr>
                <w:b w:val="0"/>
                <w:sz w:val="18"/>
              </w:rPr>
              <w:t>Sin mecanismo razonable</w:t>
            </w:r>
          </w:p>
        </w:tc>
      </w:tr>
      <w:tr>
        <w:tc>
          <w:tcPr>
            <w:tcW w:type="dxa" w:w="1958"/>
          </w:tcPr>
          <w:p>
            <w:r/>
            <w:r>
              <w:rPr>
                <w:b/>
                <w:sz w:val="18"/>
              </w:rPr>
              <w:t>1</w:t>
            </w:r>
          </w:p>
        </w:tc>
        <w:tc>
          <w:tcPr>
            <w:tcW w:type="dxa" w:w="1958"/>
          </w:tcPr>
          <w:p>
            <w:r/>
            <w:r>
              <w:rPr>
                <w:b w:val="0"/>
                <w:sz w:val="18"/>
              </w:rPr>
              <w:t>Válida pero limitada/indirecta</w:t>
            </w:r>
          </w:p>
        </w:tc>
        <w:tc>
          <w:tcPr>
            <w:tcW w:type="dxa" w:w="1958"/>
          </w:tcPr>
          <w:p>
            <w:r/>
            <w:r>
              <w:rPr>
                <w:b w:val="0"/>
                <w:sz w:val="18"/>
              </w:rPr>
              <w:t>Una línea válida sin corroboración suficiente</w:t>
            </w:r>
          </w:p>
        </w:tc>
        <w:tc>
          <w:tcPr>
            <w:tcW w:type="dxa" w:w="1958"/>
          </w:tcPr>
          <w:p>
            <w:r/>
            <w:r>
              <w:rPr>
                <w:b w:val="0"/>
                <w:sz w:val="18"/>
              </w:rPr>
              <w:t>Observación actual o recurrencia limitada</w:t>
            </w:r>
          </w:p>
        </w:tc>
        <w:tc>
          <w:tcPr>
            <w:tcW w:type="dxa" w:w="1958"/>
          </w:tcPr>
          <w:p>
            <w:r/>
            <w:r>
              <w:rPr>
                <w:b w:val="0"/>
                <w:sz w:val="18"/>
              </w:rPr>
              <w:t>Mecanismo plausible con evidencia limitada</w:t>
            </w:r>
          </w:p>
        </w:tc>
      </w:tr>
      <w:tr>
        <w:tc>
          <w:tcPr>
            <w:tcW w:type="dxa" w:w="1958"/>
          </w:tcPr>
          <w:p>
            <w:r/>
            <w:r>
              <w:rPr>
                <w:b/>
                <w:sz w:val="18"/>
              </w:rPr>
              <w:t>2</w:t>
            </w:r>
          </w:p>
        </w:tc>
        <w:tc>
          <w:tcPr>
            <w:tcW w:type="dxa" w:w="1958"/>
          </w:tcPr>
          <w:p>
            <w:r/>
            <w:r>
              <w:rPr>
                <w:b w:val="0"/>
                <w:sz w:val="18"/>
              </w:rPr>
              <w:t>Verificable, pertinente y consistente</w:t>
            </w:r>
          </w:p>
        </w:tc>
        <w:tc>
          <w:tcPr>
            <w:tcW w:type="dxa" w:w="1958"/>
          </w:tcPr>
          <w:p>
            <w:r/>
            <w:r>
              <w:rPr>
                <w:b w:val="0"/>
                <w:sz w:val="18"/>
              </w:rPr>
              <w:t>Dos o más fuentes compatibles</w:t>
            </w:r>
          </w:p>
        </w:tc>
        <w:tc>
          <w:tcPr>
            <w:tcW w:type="dxa" w:w="1958"/>
          </w:tcPr>
          <w:p>
            <w:r/>
            <w:r>
              <w:rPr>
                <w:b w:val="0"/>
                <w:sz w:val="18"/>
              </w:rPr>
              <w:t>Comportamiento repetido con dirección</w:t>
            </w:r>
          </w:p>
        </w:tc>
        <w:tc>
          <w:tcPr>
            <w:tcW w:type="dxa" w:w="1958"/>
          </w:tcPr>
          <w:p>
            <w:r/>
            <w:r>
              <w:rPr>
                <w:b w:val="0"/>
                <w:sz w:val="18"/>
              </w:rPr>
              <w:t>Mecanismo sustentado</w:t>
            </w:r>
          </w:p>
        </w:tc>
      </w:tr>
      <w:tr>
        <w:tc>
          <w:tcPr>
            <w:tcW w:type="dxa" w:w="1958"/>
          </w:tcPr>
          <w:p>
            <w:r/>
            <w:r>
              <w:rPr>
                <w:b/>
                <w:sz w:val="18"/>
              </w:rPr>
              <w:t>3</w:t>
            </w:r>
          </w:p>
        </w:tc>
        <w:tc>
          <w:tcPr>
            <w:tcW w:type="dxa" w:w="1958"/>
          </w:tcPr>
          <w:p>
            <w:r/>
            <w:r>
              <w:rPr>
                <w:b w:val="0"/>
                <w:sz w:val="18"/>
              </w:rPr>
              <w:t>Repetida y altamente confiable</w:t>
            </w:r>
          </w:p>
        </w:tc>
        <w:tc>
          <w:tcPr>
            <w:tcW w:type="dxa" w:w="1958"/>
          </w:tcPr>
          <w:p>
            <w:r/>
            <w:r>
              <w:rPr>
                <w:b w:val="0"/>
                <w:sz w:val="18"/>
              </w:rPr>
              <w:t>Fuentes independientes y heterogéneas convergen</w:t>
            </w:r>
          </w:p>
        </w:tc>
        <w:tc>
          <w:tcPr>
            <w:tcW w:type="dxa" w:w="1958"/>
          </w:tcPr>
          <w:p>
            <w:r/>
            <w:r>
              <w:rPr>
                <w:b w:val="0"/>
                <w:sz w:val="18"/>
              </w:rPr>
              <w:t>Patrón/tendencia temporal consistente</w:t>
            </w:r>
          </w:p>
        </w:tc>
        <w:tc>
          <w:tcPr>
            <w:tcW w:type="dxa" w:w="1958"/>
          </w:tcPr>
          <w:p>
            <w:r/>
            <w:r>
              <w:rPr>
                <w:b w:val="0"/>
                <w:sz w:val="18"/>
              </w:rPr>
              <w:t>Mecanismo fuertemente sustentado</w:t>
            </w:r>
          </w:p>
        </w:tc>
      </w:tr>
    </w:tbl>
    <w:p>
      <w:pPr>
        <w:pStyle w:val="Heading2"/>
      </w:pPr>
      <w:r>
        <w:t>8. Niveles de salida</w:t>
      </w:r>
    </w:p>
    <w:p>
      <w:r>
        <w:t>El motor utiliza internamente cuatro estados de salida. Estos códigos son de implementación y no necesitan exponerse al cliente.</w:t>
      </w:r>
    </w:p>
    <w:p>
      <w:pPr>
        <w:pStyle w:val="ListBullet"/>
      </w:pPr>
      <w:r>
        <w:t>S0 — No proyectable.</w:t>
      </w:r>
    </w:p>
    <w:p>
      <w:pPr>
        <w:pStyle w:val="ListBullet"/>
      </w:pPr>
      <w:r>
        <w:t>S1 — Escenario cualitativo.</w:t>
      </w:r>
    </w:p>
    <w:p>
      <w:pPr>
        <w:pStyle w:val="ListBullet"/>
      </w:pPr>
      <w:r>
        <w:t>S2 — Rango o cuantificación limitada.</w:t>
      </w:r>
    </w:p>
    <w:p>
      <w:pPr>
        <w:pStyle w:val="ListBullet"/>
      </w:pPr>
      <w:r>
        <w:t>S3 — Escenario cuantificado.</w:t>
      </w:r>
    </w:p>
    <w:p>
      <w:pPr>
        <w:jc w:val="center"/>
      </w:pPr>
      <w:r>
        <w:rPr>
          <w:b/>
          <w:sz w:val="20"/>
        </w:rPr>
        <w:t>FUERZA DE SALIDA ≤ FUERZA DE EVIDENCIA</w:t>
      </w:r>
    </w:p>
    <w:p>
      <w:pPr>
        <w:pStyle w:val="Heading1"/>
      </w:pPr>
      <w:r>
        <w:t>PARTE II — RELACIÓN DE CÁLCULO CFF ↔ IFD</w:t>
      </w:r>
    </w:p>
    <w:p>
      <w:pPr>
        <w:pStyle w:val="Heading2"/>
      </w:pPr>
      <w:r>
        <w:rPr>
          <w:rFonts w:ascii="Aptos" w:hAnsi="Aptos"/>
          <w:sz w:val="20"/>
        </w:rPr>
        <w:t>9. Separación temporal y matemática</w:t>
      </w:r>
    </w:p>
    <w:p>
      <w:r>
        <w:t>CFF e IFD pueden observar consecuencias relacionadas con un mismo deterioro, pero ocupan posiciones temporales y matemáticas diferentes. CFF valora consecuencias ya realizadas. IFD proyecta consecuencias futuras posibles. Ninguno se obtiene aritméticamente del otro.</w:t>
      </w:r>
    </w:p>
    <w:p>
      <w:pPr>
        <w:jc w:val="center"/>
      </w:pPr>
      <w:r>
        <w:rPr>
          <w:b/>
          <w:sz w:val="20"/>
        </w:rPr>
        <w:t>CFF → RETROSPECTIVO → COSTO REALIZADO</w:t>
      </w:r>
    </w:p>
    <w:p>
      <w:pPr>
        <w:jc w:val="center"/>
      </w:pPr>
      <w:r>
        <w:rPr>
          <w:b/>
          <w:sz w:val="20"/>
        </w:rPr>
        <w:t>IFD → PROSPECTIVO → ESCENARIOS DE IMPACTO FUTURO</w:t>
      </w:r>
    </w:p>
    <w:p>
      <w:pPr>
        <w:jc w:val="center"/>
      </w:pPr>
      <w:r>
        <w:rPr>
          <w:b/>
          <w:sz w:val="20"/>
        </w:rPr>
        <w:t>CFF × H ≠ IFD</w:t>
      </w:r>
    </w:p>
    <w:p>
      <w:pPr>
        <w:pStyle w:val="Heading2"/>
      </w:pPr>
      <w:r>
        <w:rPr>
          <w:rFonts w:ascii="Aptos" w:hAnsi="Aptos"/>
          <w:sz w:val="20"/>
        </w:rPr>
        <w:t>10. Raíz de evidencia común</w:t>
      </w:r>
    </w:p>
    <w:p>
      <w:r>
        <w:t>Cuando CFF ha reconstruido una consecuencia realizada, la evidencia física y económica subyacente puede ser reutilizable por IFD: frecuencia, magnitud, exposición, unidad natural, valor unitario, comportamiento temporal y trazabilidad. IFD no hereda automáticamente su validez futura: cada elemento debe superar las reglas prospectivas correspondientes.</w:t>
      </w:r>
    </w:p>
    <w:p>
      <w:pPr>
        <w:jc w:val="center"/>
      </w:pPr>
      <w:r>
        <w:rPr>
          <w:b/>
          <w:sz w:val="20"/>
        </w:rPr>
        <w:t>VÁLIDO EN EL PASADO ≠ AUTOMÁTICAMENTE VÁLIDO EN EL FUTURO</w:t>
      </w:r>
    </w:p>
    <w:p>
      <w:pPr>
        <w:jc w:val="center"/>
      </w:pPr>
      <w:r>
        <w:rPr>
          <w:b/>
          <w:sz w:val="20"/>
        </w:rPr>
        <w:t>CFF NO ES UNA VARIABLE DE LA FÓRMULA DE IFD</w:t>
      </w:r>
    </w:p>
    <w:p>
      <w:pPr>
        <w:pStyle w:val="Heading2"/>
      </w:pPr>
      <w:r>
        <w:rPr>
          <w:rFonts w:ascii="Aptos" w:hAnsi="Aptos"/>
          <w:sz w:val="20"/>
        </w:rPr>
        <w:t>11. Secuencia de cálculo correcta</w:t>
      </w:r>
    </w:p>
    <w:p>
      <w:pPr>
        <w:jc w:val="center"/>
      </w:pPr>
      <w:r>
        <w:rPr>
          <w:b/>
          <w:sz w:val="20"/>
        </w:rPr>
        <w:t>EVIDENCIA OPERATIVA HISTÓRICA → CONSECUENCIA REALIZADA → CFF</w:t>
      </w:r>
    </w:p>
    <w:p>
      <w:pPr>
        <w:jc w:val="center"/>
      </w:pPr>
      <w:r>
        <w:rPr>
          <w:b/>
          <w:sz w:val="20"/>
        </w:rPr>
        <w:t>EVIDENCIA OPERATIVA HISTÓRICA → MÉTODO PROSPECTIVO → CONSECUENCIA FUTURA → IFD</w:t>
      </w:r>
    </w:p>
    <w:p>
      <w:pPr>
        <w:jc w:val="center"/>
      </w:pPr>
      <w:r>
        <w:rPr>
          <w:b/>
          <w:sz w:val="20"/>
        </w:rPr>
        <w:t>CONSECUENCIA FUTURA CUANTIFICADA → VALORACIÓN ECONÓMICA, SI ES TRAZABLE</w:t>
      </w:r>
    </w:p>
    <w:p>
      <w:r>
        <w:t>La relación es de evidencia y reutilización condicionada de parámetros, no de dependencia aritmética. Por ello, un costo histórico de CFF no se multiplica por meses para producir IFD.</w:t>
      </w:r>
    </w:p>
    <w:p>
      <w:pPr>
        <w:pStyle w:val="Heading2"/>
      </w:pPr>
      <w:r>
        <w:rPr>
          <w:rFonts w:ascii="Aptos" w:hAnsi="Aptos"/>
          <w:sz w:val="20"/>
        </w:rPr>
        <w:t>12. Ejemplo normativo</w:t>
      </w:r>
    </w:p>
    <w:p>
      <w:r>
        <w:t>Si CFF demuestra 3.000 horas de reproceso realizadas y un valor unitario trazable de 25 unidades monetarias por hora, CFF puede valorar 75.000 unidades monetarias realizadas. Para IFD, la variable que se proyecta son las horas de reproceso, no los 75.000. Si el método prospectivo sustenta 5.400 horas futuras y el valor unitario sigue siendo admisible, la valoración prospectiva es 135.000. La cifra futura pertenece a IFD y no convierte el CFF histórico en una tasa de crecimiento.</w:t>
      </w:r>
    </w:p>
    <w:p>
      <w:pPr>
        <w:jc w:val="center"/>
      </w:pPr>
      <w:r>
        <w:rPr>
          <w:rFonts w:ascii="Cambria Math" w:hAnsi="Cambria Math"/>
          <w:b/>
          <w:sz w:val="21"/>
        </w:rPr>
        <w:t>CFF realizado: 3.000 × 25 = 75.000</w:t>
      </w:r>
    </w:p>
    <w:p>
      <w:pPr>
        <w:jc w:val="center"/>
      </w:pPr>
      <w:r>
        <w:rPr>
          <w:rFonts w:ascii="Cambria Math" w:hAnsi="Cambria Math"/>
          <w:b/>
          <w:sz w:val="21"/>
        </w:rPr>
        <w:t>IFD económico: 5.400 × 25 = 135.000</w:t>
      </w:r>
    </w:p>
    <w:p>
      <w:pPr>
        <w:jc w:val="center"/>
      </w:pPr>
      <w:r>
        <w:rPr>
          <w:b/>
          <w:sz w:val="20"/>
        </w:rPr>
        <w:t>75.000 × horizonte ≠ método prospectivo válido</w:t>
      </w:r>
    </w:p>
    <w:p>
      <w:pPr>
        <w:pStyle w:val="Heading2"/>
      </w:pPr>
      <w:r>
        <w:rPr>
          <w:rFonts w:ascii="Aptos" w:hAnsi="Aptos"/>
          <w:sz w:val="20"/>
        </w:rPr>
        <w:t>13. Presentación acumulada</w:t>
      </w:r>
    </w:p>
    <w:p>
      <w:r>
        <w:t>Puede construirse una lectura ejecutiva acumulada que muestre pasado realizado y futuro proyectado, pero debe conservar ambos componentes separados. La suma no crea un nuevo CFF ni un nuevo IFD.</w:t>
      </w:r>
    </w:p>
    <w:p>
      <w:pPr>
        <w:jc w:val="center"/>
      </w:pPr>
      <w:r>
        <w:rPr>
          <w:rFonts w:ascii="Cambria Math" w:hAnsi="Cambria Math"/>
          <w:b/>
          <w:sz w:val="21"/>
        </w:rPr>
        <w:t>Impacto acumulado analítico = CFF_realizado + IFD_económico_futuro</w:t>
      </w:r>
    </w:p>
    <w:p>
      <w:pPr>
        <w:jc w:val="center"/>
      </w:pPr>
      <w:r>
        <w:rPr>
          <w:b/>
          <w:sz w:val="20"/>
        </w:rPr>
        <w:t>PASADO REALIZADO + FUTURO PROYECTADO ≠ UNA SOLA CLASE DE EVIDENCIA</w:t>
      </w:r>
    </w:p>
    <w:p>
      <w:pPr>
        <w:pStyle w:val="Heading1"/>
      </w:pPr>
      <w:r>
        <w:rPr>
          <w:rFonts w:ascii="Aptos" w:hAnsi="Aptos"/>
          <w:sz w:val="20"/>
        </w:rPr>
        <w:t>PARTE III — ESPECIFICACIÓN MATEMÁTICA</w:t>
      </w:r>
    </w:p>
    <w:p>
      <w:pPr>
        <w:pStyle w:val="Heading2"/>
      </w:pPr>
      <w:r>
        <w:rPr>
          <w:rFonts w:ascii="Aptos" w:hAnsi="Aptos"/>
          <w:sz w:val="20"/>
        </w:rPr>
        <w:t>14. Clasificación de variables</w:t>
      </w:r>
    </w:p>
    <w:p>
      <w:pPr>
        <w:pStyle w:val="ListBullet"/>
      </w:pPr>
      <w:r>
        <w:t>V1 — Conteo.</w:t>
      </w:r>
    </w:p>
    <w:p>
      <w:pPr>
        <w:pStyle w:val="ListBullet"/>
      </w:pPr>
      <w:r>
        <w:t>V2 — Tasa o proporción.</w:t>
      </w:r>
    </w:p>
    <w:p>
      <w:pPr>
        <w:pStyle w:val="ListBullet"/>
      </w:pPr>
      <w:r>
        <w:t>V3 — Magnitud continua.</w:t>
      </w:r>
    </w:p>
    <w:p>
      <w:pPr>
        <w:pStyle w:val="ListBullet"/>
      </w:pPr>
      <w:r>
        <w:t>V4 — Stock o acumulación.</w:t>
      </w:r>
    </w:p>
    <w:p>
      <w:pPr>
        <w:pStyle w:val="ListBullet"/>
      </w:pPr>
      <w:r>
        <w:t>V5 — Capacidad cualitativa o latente.</w:t>
      </w:r>
    </w:p>
    <w:p>
      <w:r>
        <w:t>Los códigos V1–V5 son internos. La clasificación existe para impedir que el motor aplique una fórmula incompatible con la naturaleza de la variable.</w:t>
      </w:r>
    </w:p>
    <w:p>
      <w:pPr>
        <w:pStyle w:val="Heading2"/>
      </w:pPr>
      <w:r>
        <w:rPr>
          <w:rFonts w:ascii="Aptos" w:hAnsi="Aptos"/>
          <w:sz w:val="20"/>
        </w:rPr>
        <w:t>15. Dominio natural</w:t>
      </w:r>
    </w:p>
    <w:p>
      <w:pPr>
        <w:jc w:val="center"/>
      </w:pPr>
      <w:r>
        <w:rPr>
          <w:rFonts w:ascii="Cambria Math" w:hAnsi="Cambria Math"/>
          <w:b/>
          <w:sz w:val="21"/>
        </w:rPr>
        <w:t>Y*ᵢ = min(Uᵢ, max(Lᵢ, Ŷᵢ))</w:t>
      </w:r>
    </w:p>
    <w:p>
      <w:r>
        <w:t>Toda variable cuantitativa declara límites naturales cuando correspondan. Ejemplos: conteos ≥0; tiempo ≥0; proporciones entre 0 y 1; porcentajes entre 0 y 100. No se imponen límites universales a variables que admiten legítimamente valores negativos.</w:t>
      </w:r>
    </w:p>
    <w:p>
      <w:pPr>
        <w:pStyle w:val="Heading2"/>
      </w:pPr>
      <w:r>
        <w:rPr>
          <w:rFonts w:ascii="Aptos" w:hAnsi="Aptos"/>
          <w:sz w:val="20"/>
        </w:rPr>
        <w:t>16. Tipo de evolución</w:t>
      </w:r>
    </w:p>
    <w:p>
      <w:r>
        <w:t>La fórmula de proyección depende de la dinámica admisible: aditiva, multiplicativa, acumulativa, limitada o cualitativa.</w:t>
      </w:r>
    </w:p>
    <w:p>
      <w:pPr>
        <w:jc w:val="center"/>
      </w:pPr>
      <w:r>
        <w:rPr>
          <w:rFonts w:ascii="Cambria Math" w:hAnsi="Cambria Math"/>
          <w:b/>
          <w:sz w:val="21"/>
        </w:rPr>
        <w:t>Aditiva: Yₜ₊ₕ = Yₜ + hΔ</w:t>
      </w:r>
    </w:p>
    <w:p>
      <w:pPr>
        <w:jc w:val="center"/>
      </w:pPr>
      <w:r>
        <w:rPr>
          <w:rFonts w:ascii="Cambria Math" w:hAnsi="Cambria Math"/>
          <w:b/>
          <w:sz w:val="21"/>
        </w:rPr>
        <w:t>Multiplicativa: Yₜ₊ₕ = Yₜ(1+g)ʰ</w:t>
      </w:r>
    </w:p>
    <w:p>
      <w:pPr>
        <w:jc w:val="center"/>
      </w:pPr>
      <w:r>
        <w:rPr>
          <w:rFonts w:ascii="Cambria Math" w:hAnsi="Cambria Math"/>
          <w:b/>
          <w:sz w:val="21"/>
        </w:rPr>
        <w:t>Acumulativa: Stockₜ₊₁ = Stockₜ + Entradasₜ − Salidasₜ</w:t>
      </w:r>
    </w:p>
    <w:p>
      <w:r>
        <w:t>Una variable puede combinar propiedades, por ejemplo una tasa multiplicativa y limitada.</w:t>
      </w:r>
    </w:p>
    <w:p>
      <w:pPr>
        <w:pStyle w:val="Heading2"/>
      </w:pPr>
      <w:r>
        <w:rPr>
          <w:rFonts w:ascii="Aptos" w:hAnsi="Aptos"/>
          <w:sz w:val="20"/>
        </w:rPr>
        <w:t>17. Suficiencia de serie</w:t>
      </w:r>
    </w:p>
    <w:p>
      <w:r>
        <w:t>Temporalidad y suficiencia estadística son diferentes. La serie se clasifica internamente de SS0 a SS3: insuficiente; descriptiva; suficiente para rangos exploratorios; suficientemente estructurada para modelación cuantitativa pre-piloto. Los mínimos por método son parámetros calibrables, no verdades universales.</w:t>
      </w:r>
    </w:p>
    <w:p>
      <w:pPr>
        <w:pStyle w:val="Heading2"/>
      </w:pPr>
      <w:r>
        <w:rPr>
          <w:rFonts w:ascii="Aptos" w:hAnsi="Aptos"/>
          <w:sz w:val="20"/>
        </w:rPr>
        <w:t>18. Horizonte máximo sustentable</w:t>
      </w:r>
    </w:p>
    <w:p>
      <w:r>
        <w:rPr>
          <w:b/>
        </w:rPr>
        <w:t xml:space="preserve">Definición. </w:t>
      </w:r>
      <w:r>
        <w:t>Horizonte Máximo Sustentable (HMS): distancia temporal máxima dentro de la cual evidencia, serie y método permiten conservar el nivel de precisión asignado.</w:t>
      </w:r>
    </w:p>
    <w:p>
      <w:r>
        <w:rPr>
          <w:b/>
        </w:rPr>
        <w:t xml:space="preserve">Función. </w:t>
      </w:r>
      <w:r>
        <w:t>Evitar que un modelo válido a corto plazo sea extrapolado indefinidamente.</w:t>
      </w:r>
    </w:p>
    <w:p>
      <w:pPr>
        <w:jc w:val="center"/>
      </w:pPr>
      <w:r>
        <w:rPr>
          <w:rFonts w:ascii="Cambria Math" w:hAnsi="Cambria Math"/>
          <w:b/>
          <w:sz w:val="21"/>
        </w:rPr>
        <w:t>H ≤ HMS</w:t>
      </w:r>
    </w:p>
    <w:p>
      <w:r>
        <w:t>Si H supera HMS, el motor reduce horizonte, degrada la salida, amplía incertidumbre o se abstiene de cuantificar.</w:t>
      </w:r>
    </w:p>
    <w:p>
      <w:pPr>
        <w:pStyle w:val="Heading2"/>
      </w:pPr>
      <w:r>
        <w:rPr>
          <w:rFonts w:ascii="Aptos" w:hAnsi="Aptos"/>
          <w:sz w:val="20"/>
        </w:rPr>
        <w:t>19. Admisibilidad del método</w:t>
      </w:r>
    </w:p>
    <w:p>
      <w:pPr>
        <w:jc w:val="center"/>
      </w:pPr>
      <w:r>
        <w:rPr>
          <w:rFonts w:ascii="Cambria Math" w:hAnsi="Cambria Math"/>
          <w:b/>
          <w:sz w:val="21"/>
        </w:rPr>
        <w:t>AMₘ = f(FEP, SS, tipo de variable, evolución, dominio, horizonte)</w:t>
      </w:r>
    </w:p>
    <w:p>
      <w:r>
        <w:t>La función f no es un score ponderado: representa una matriz de compatibilidad. Si el método no es admisible, se selecciona uno más simple o se degrada la salida.</w:t>
      </w:r>
    </w:p>
    <w:p>
      <w:pPr>
        <w:pStyle w:val="Heading2"/>
      </w:pPr>
      <w:r>
        <w:rPr>
          <w:rFonts w:ascii="Aptos" w:hAnsi="Aptos"/>
          <w:sz w:val="20"/>
        </w:rPr>
        <w:t>20. Motores por tipo de variable</w:t>
      </w:r>
    </w:p>
    <w:p>
      <w:pPr>
        <w:pStyle w:val="Heading3"/>
      </w:pPr>
      <w:r>
        <w:rPr>
          <w:rFonts w:ascii="Aptos" w:hAnsi="Aptos"/>
          <w:sz w:val="20"/>
        </w:rPr>
        <w:t>20.1 Conteos</w:t>
      </w:r>
    </w:p>
    <w:p>
      <w:pPr>
        <w:jc w:val="center"/>
      </w:pPr>
      <w:r>
        <w:rPr>
          <w:rFonts w:ascii="Cambria Math" w:hAnsi="Cambria Math"/>
          <w:b/>
          <w:sz w:val="21"/>
        </w:rPr>
        <w:t>λ = N_obs / X_obs</w:t>
      </w:r>
    </w:p>
    <w:p>
      <w:pPr>
        <w:jc w:val="center"/>
      </w:pPr>
      <w:r>
        <w:rPr>
          <w:rFonts w:ascii="Cambria Math" w:hAnsi="Cambria Math"/>
          <w:b/>
          <w:sz w:val="21"/>
        </w:rPr>
        <w:t>N̂_H = λ × X_H</w:t>
      </w:r>
    </w:p>
    <w:p>
      <w:r>
        <w:t>La exposición X debe corresponder al evento. No se extrapola un conteo bruto cuando el volumen cambia materialmente.</w:t>
      </w:r>
    </w:p>
    <w:p>
      <w:pPr>
        <w:pStyle w:val="Heading3"/>
      </w:pPr>
      <w:r>
        <w:rPr>
          <w:rFonts w:ascii="Aptos" w:hAnsi="Aptos"/>
          <w:sz w:val="20"/>
        </w:rPr>
        <w:t>20.2 Tasas</w:t>
      </w:r>
    </w:p>
    <w:p>
      <w:pPr>
        <w:jc w:val="center"/>
      </w:pPr>
      <w:r>
        <w:rPr>
          <w:rFonts w:ascii="Cambria Math" w:hAnsi="Cambria Math"/>
          <w:b/>
          <w:sz w:val="21"/>
        </w:rPr>
        <w:t>rₜ = Eventosₜ / Exposiciónₜ</w:t>
      </w:r>
    </w:p>
    <w:p>
      <w:pPr>
        <w:jc w:val="center"/>
      </w:pPr>
      <w:r>
        <w:rPr>
          <w:rFonts w:ascii="Cambria Math" w:hAnsi="Cambria Math"/>
          <w:b/>
          <w:sz w:val="21"/>
        </w:rPr>
        <w:t>Tendencia lineal admisible: rₜ = a + bt + εₜ</w:t>
      </w:r>
    </w:p>
    <w:p>
      <w:pPr>
        <w:jc w:val="center"/>
      </w:pPr>
      <w:r>
        <w:rPr>
          <w:rFonts w:ascii="Cambria Math" w:hAnsi="Cambria Math"/>
          <w:b/>
          <w:sz w:val="21"/>
        </w:rPr>
        <w:t>r̂ₜ₊ₕ = a + b(t+h), sujeto al dominio</w:t>
      </w:r>
    </w:p>
    <w:p>
      <w:pPr>
        <w:pStyle w:val="Heading3"/>
      </w:pPr>
      <w:r>
        <w:rPr>
          <w:rFonts w:ascii="Aptos" w:hAnsi="Aptos"/>
          <w:sz w:val="20"/>
        </w:rPr>
        <w:t>20.3 Magnitudes continuas</w:t>
      </w:r>
    </w:p>
    <w:p>
      <w:pPr>
        <w:jc w:val="center"/>
      </w:pPr>
      <w:r>
        <w:rPr>
          <w:rFonts w:ascii="Cambria Math" w:hAnsi="Cambria Math"/>
          <w:b/>
          <w:sz w:val="21"/>
        </w:rPr>
        <w:t>Estabilidad: Ŷ_H = media(Y) o mediana(Y), según distribución</w:t>
      </w:r>
    </w:p>
    <w:p>
      <w:pPr>
        <w:jc w:val="center"/>
      </w:pPr>
      <w:r>
        <w:rPr>
          <w:rFonts w:ascii="Cambria Math" w:hAnsi="Cambria Math"/>
          <w:b/>
          <w:sz w:val="21"/>
        </w:rPr>
        <w:t>Tendencia: Yₜ = a + bt + εₜ</w:t>
      </w:r>
    </w:p>
    <w:p>
      <w:pPr>
        <w:pStyle w:val="Heading3"/>
      </w:pPr>
      <w:r>
        <w:rPr>
          <w:rFonts w:ascii="Aptos" w:hAnsi="Aptos"/>
          <w:sz w:val="20"/>
        </w:rPr>
        <w:t>20.4 Stocks</w:t>
      </w:r>
    </w:p>
    <w:p>
      <w:pPr>
        <w:jc w:val="center"/>
      </w:pPr>
      <w:r>
        <w:rPr>
          <w:rFonts w:ascii="Cambria Math" w:hAnsi="Cambria Math"/>
          <w:b/>
          <w:sz w:val="21"/>
        </w:rPr>
        <w:t>Stockₜ₊H = Stockₜ + Σ(Entradasₜ₊ₕ − Salidasₜ₊ₕ)</w:t>
      </w:r>
    </w:p>
    <w:p>
      <w:pPr>
        <w:pStyle w:val="Heading3"/>
      </w:pPr>
      <w:r>
        <w:rPr>
          <w:rFonts w:ascii="Aptos" w:hAnsi="Aptos"/>
          <w:sz w:val="20"/>
        </w:rPr>
        <w:t>20.5 Capacidades latentes</w:t>
      </w:r>
    </w:p>
    <w:p>
      <w:r>
        <w:t>No se convierten artificialmente en porcentajes. La salida expresa exposición sustentada de la capacidad y su posible relevancia, no una medición inventada de innovación, creatividad, aprendizaje o adaptación.</w:t>
      </w:r>
    </w:p>
    <w:p>
      <w:pPr>
        <w:pStyle w:val="Heading2"/>
      </w:pPr>
      <w:r>
        <w:rPr>
          <w:rFonts w:ascii="Aptos" w:hAnsi="Aptos"/>
          <w:sz w:val="20"/>
        </w:rPr>
        <w:t>21. Escenarios</w:t>
      </w:r>
    </w:p>
    <w:p>
      <w:pPr>
        <w:pStyle w:val="Heading3"/>
      </w:pPr>
      <w:r>
        <w:rPr>
          <w:rFonts w:ascii="Aptos" w:hAnsi="Aptos"/>
          <w:sz w:val="20"/>
        </w:rPr>
        <w:t>21.1 Continuidad</w:t>
      </w:r>
    </w:p>
    <w:p>
      <w:r>
        <w:t>Representa la posible evolución bajo mantenimiento razonable de las condiciones relevantes observadas. No utiliza un multiplicador arbitrario.</w:t>
      </w:r>
    </w:p>
    <w:p>
      <w:pPr>
        <w:jc w:val="center"/>
      </w:pPr>
      <w:r>
        <w:rPr>
          <w:rFonts w:ascii="Cambria Math" w:hAnsi="Cambria Math"/>
          <w:b/>
          <w:sz w:val="21"/>
        </w:rPr>
        <w:t>Y_H^CONT = Ŷ_H</w:t>
      </w:r>
    </w:p>
    <w:p>
      <w:pPr>
        <w:pStyle w:val="Heading3"/>
      </w:pPr>
      <w:r>
        <w:rPr>
          <w:rFonts w:ascii="Aptos" w:hAnsi="Aptos"/>
          <w:sz w:val="20"/>
        </w:rPr>
        <w:t>21.2 Intensificación</w:t>
      </w:r>
    </w:p>
    <w:p>
      <w:r>
        <w:t>Puede utilizar variabilidad histórica adversa cuando la serie es suficiente. Q75 es una convención pre-piloto, no un parámetro empíricamente cerrado.</w:t>
      </w:r>
    </w:p>
    <w:p>
      <w:pPr>
        <w:jc w:val="center"/>
      </w:pPr>
      <w:r>
        <w:rPr>
          <w:rFonts w:ascii="Cambria Math" w:hAnsi="Cambria Math"/>
          <w:b/>
          <w:sz w:val="21"/>
        </w:rPr>
        <w:t>Multiplicativo: Yₜ₊ₕ^INT = Yₜ(1+g^INT)ʰ</w:t>
      </w:r>
    </w:p>
    <w:p>
      <w:pPr>
        <w:jc w:val="center"/>
      </w:pPr>
      <w:r>
        <w:rPr>
          <w:rFonts w:ascii="Cambria Math" w:hAnsi="Cambria Math"/>
          <w:b/>
          <w:sz w:val="21"/>
        </w:rPr>
        <w:t>Aditivo: Yₜ₊ₕ^INT = Yₜ + hΔ^INT</w:t>
      </w:r>
    </w:p>
    <w:p>
      <w:pPr>
        <w:pStyle w:val="Heading3"/>
      </w:pPr>
      <w:r>
        <w:rPr>
          <w:rFonts w:ascii="Aptos" w:hAnsi="Aptos"/>
          <w:sz w:val="20"/>
        </w:rPr>
        <w:t>21.3 Contención</w:t>
      </w:r>
    </w:p>
    <w:p>
      <w:r>
        <w:t>Solo se cuantifica cuando existe evidencia sobre comportamiento favorable o intervención. Sin evidencia suficiente, la contención permanece cualitativa.</w:t>
      </w:r>
    </w:p>
    <w:p>
      <w:pPr>
        <w:pStyle w:val="Heading2"/>
      </w:pPr>
      <w:r>
        <w:rPr>
          <w:rFonts w:ascii="Aptos" w:hAnsi="Aptos"/>
          <w:sz w:val="20"/>
        </w:rPr>
        <w:t>22. Incertidumbre</w:t>
      </w:r>
    </w:p>
    <w:p>
      <w:pPr>
        <w:jc w:val="center"/>
      </w:pPr>
      <w:r>
        <w:rPr>
          <w:rFonts w:ascii="Cambria Math" w:hAnsi="Cambria Math"/>
          <w:b/>
          <w:sz w:val="21"/>
        </w:rPr>
        <w:t>IFDᵢ = [Lᵢ, Bᵢ, Uᵢ]  o  [Lᵢ, Uᵢ]</w:t>
      </w:r>
    </w:p>
    <w:p>
      <w:r>
        <w:t>No se inventa un valor central si la evidencia solo permite rango. La amplitud de incertidumbre debe reflejar horizonte, evidencia y método; los parámetros concretos se calibran en piloto.</w:t>
      </w:r>
    </w:p>
    <w:p>
      <w:pPr>
        <w:pStyle w:val="Heading2"/>
      </w:pPr>
      <w:r>
        <w:rPr>
          <w:rFonts w:ascii="Aptos" w:hAnsi="Aptos"/>
          <w:sz w:val="20"/>
        </w:rPr>
        <w:t>23. Módulo económico</w:t>
      </w:r>
    </w:p>
    <w:p>
      <w:r>
        <w:t>La economía se activa únicamente después de proyectar una consecuencia cuantificable y establecer trazabilidad económica.</w:t>
      </w:r>
    </w:p>
    <w:p>
      <w:pPr>
        <w:jc w:val="center"/>
      </w:pPr>
      <w:r>
        <w:rPr>
          <w:b/>
          <w:sz w:val="20"/>
        </w:rPr>
        <w:t>CUANTIFICABLE ≠ MONETIZABLE</w:t>
      </w:r>
    </w:p>
    <w:p>
      <w:pPr>
        <w:jc w:val="center"/>
      </w:pPr>
      <w:r>
        <w:rPr>
          <w:b/>
          <w:sz w:val="20"/>
        </w:rPr>
        <w:t>EXPOSICIÓN ECONÓMICA ≠ ATRIBUCIÓN</w:t>
      </w:r>
    </w:p>
    <w:p>
      <w:pPr>
        <w:pStyle w:val="Heading3"/>
      </w:pPr>
      <w:r>
        <w:rPr>
          <w:rFonts w:ascii="Aptos" w:hAnsi="Aptos"/>
          <w:sz w:val="20"/>
        </w:rPr>
        <w:t>23.1 Puerta económica</w:t>
      </w:r>
    </w:p>
    <w:p>
      <w:pPr>
        <w:jc w:val="center"/>
      </w:pPr>
      <w:r>
        <w:rPr>
          <w:rFonts w:ascii="Cambria Math" w:hAnsi="Cambria Math"/>
          <w:b/>
          <w:sz w:val="21"/>
        </w:rPr>
        <w:t>AEᵢ = Unidadᵢ ∧ ValorUnitarioᵢ ∧ TrazabilidadEconómicaᵢ</w:t>
      </w:r>
    </w:p>
    <w:p>
      <w:pPr>
        <w:pStyle w:val="Heading3"/>
      </w:pPr>
      <w:r>
        <w:rPr>
          <w:rFonts w:ascii="Aptos" w:hAnsi="Aptos"/>
          <w:sz w:val="20"/>
        </w:rPr>
        <w:t>23.2 Exposición económica bruta</w:t>
      </w:r>
    </w:p>
    <w:p>
      <w:pPr>
        <w:jc w:val="center"/>
      </w:pPr>
      <w:r>
        <w:rPr>
          <w:rFonts w:ascii="Cambria Math" w:hAnsi="Cambria Math"/>
          <w:b/>
          <w:sz w:val="21"/>
        </w:rPr>
        <w:t>EEBᵢ = Qᵢ^fut × VUᵢ</w:t>
      </w:r>
    </w:p>
    <w:p>
      <w:pPr>
        <w:pStyle w:val="Heading3"/>
      </w:pPr>
      <w:r>
        <w:rPr>
          <w:rFonts w:ascii="Aptos" w:hAnsi="Aptos"/>
          <w:sz w:val="20"/>
        </w:rPr>
        <w:t>23.3 Atribución categórica</w:t>
      </w:r>
    </w:p>
    <w:p>
      <w:pPr/>
      <w:r>
        <w:t>Definición. Atribución: clasificación epistemológica del estado de la evidencia que relaciona una consecuencia valorada con el deterioro analizado.</w:t>
      </w:r>
    </w:p>
    <w:p>
      <w:pPr/>
      <w:r>
        <w:t>Función. Determinar qué puede afirmarse sobre esa relación sin alterar aritméticamente el valor económico.</w:t>
      </w:r>
    </w:p>
    <w:p>
      <w:pPr/>
      <w:r>
        <w:t>Atribuciónᵢ ∈ {CONFIRMED, SUPPORTED, UNRESOLVED, N_A}</w:t>
      </w:r>
    </w:p>
    <w:tbl>
      <w:tblPr>
        <w:tblStyle w:val="TableGrid"/>
        <w:tblW w:type="auto" w:w="0"/>
        <w:tblLook w:firstColumn="1" w:firstRow="1" w:lastColumn="0" w:lastRow="0" w:noHBand="0" w:noVBand="1" w:val="04A0"/>
      </w:tblPr>
      <w:tblGrid>
        <w:gridCol w:w="4939"/>
        <w:gridCol w:w="4939"/>
      </w:tblGrid>
      <w:tr>
        <w:tc>
          <w:tcPr>
            <w:tcW w:type="dxa" w:w="4939"/>
            <w:shd w:fill="D9E2F3"/>
          </w:tcPr>
          <w:p>
            <w:r/>
            <w:r>
              <w:rPr>
                <w:b/>
                <w:sz w:val="18"/>
              </w:rPr>
              <w:t>Categoría</w:t>
            </w:r>
          </w:p>
        </w:tc>
        <w:tc>
          <w:tcPr>
            <w:tcW w:type="dxa" w:w="4939"/>
            <w:shd w:fill="D9E2F3"/>
          </w:tcPr>
          <w:p>
            <w:r/>
            <w:r>
              <w:rPr>
                <w:b/>
                <w:sz w:val="18"/>
              </w:rPr>
              <w:t>Tratamiento</w:t>
            </w:r>
          </w:p>
        </w:tc>
      </w:tr>
      <w:tr>
        <w:tc>
          <w:tcPr>
            <w:tcW w:type="dxa" w:w="4939"/>
          </w:tcPr>
          <w:p>
            <w:r/>
            <w:r>
              <w:rPr>
                <w:b/>
                <w:sz w:val="18"/>
              </w:rPr>
              <w:t>CONFIRMED</w:t>
            </w:r>
          </w:p>
        </w:tc>
        <w:tc>
          <w:tcPr>
            <w:tcW w:type="dxa" w:w="4939"/>
          </w:tcPr>
          <w:p>
            <w:r/>
            <w:r>
              <w:rPr>
                <w:b w:val="0"/>
                <w:sz w:val="18"/>
              </w:rPr>
              <w:t>La relación está confirmada según los criterios vigentes; la categoría acompaña la cifra, no la multiplica.</w:t>
            </w:r>
          </w:p>
        </w:tc>
      </w:tr>
      <w:tr>
        <w:tc>
          <w:tcPr>
            <w:tcW w:type="dxa" w:w="4939"/>
          </w:tcPr>
          <w:p>
            <w:r/>
            <w:r>
              <w:rPr>
                <w:b/>
                <w:sz w:val="18"/>
              </w:rPr>
              <w:t>SUPPORTED</w:t>
            </w:r>
          </w:p>
        </w:tc>
        <w:tc>
          <w:tcPr>
            <w:tcW w:type="dxa" w:w="4939"/>
          </w:tcPr>
          <w:p>
            <w:r/>
            <w:r>
              <w:rPr>
                <w:b w:val="0"/>
                <w:sz w:val="18"/>
              </w:rPr>
              <w:t>La relación está sustentada; se comunica con ese nivel de evidencia, sin descuento porcentual.</w:t>
            </w:r>
          </w:p>
        </w:tc>
      </w:tr>
      <w:tr>
        <w:tc>
          <w:tcPr>
            <w:tcW w:type="dxa" w:w="4939"/>
          </w:tcPr>
          <w:p>
            <w:r/>
            <w:r>
              <w:rPr>
                <w:b/>
                <w:sz w:val="18"/>
              </w:rPr>
              <w:t>UNRESOLVED</w:t>
            </w:r>
          </w:p>
        </w:tc>
        <w:tc>
          <w:tcPr>
            <w:tcW w:type="dxa" w:w="4939"/>
          </w:tcPr>
          <w:p>
            <w:r/>
            <w:r>
              <w:rPr>
                <w:b w:val="0"/>
                <w:sz w:val="18"/>
              </w:rPr>
              <w:t>La valoración económica puede existir, pero no debe presentarse como costo atribuible demostrado.</w:t>
            </w:r>
          </w:p>
        </w:tc>
      </w:tr>
      <w:tr>
        <w:tc>
          <w:tcPr>
            <w:tcW w:type="dxa" w:w="4939"/>
          </w:tcPr>
          <w:p>
            <w:r/>
            <w:r>
              <w:rPr>
                <w:b/>
                <w:sz w:val="18"/>
              </w:rPr>
              <w:t>N_A</w:t>
            </w:r>
          </w:p>
        </w:tc>
        <w:tc>
          <w:tcPr>
            <w:tcW w:type="dxa" w:w="4939"/>
          </w:tcPr>
          <w:p>
            <w:r/>
            <w:r>
              <w:rPr>
                <w:b w:val="0"/>
                <w:sz w:val="18"/>
              </w:rPr>
              <w:t>La atribución no aplica al caso; no se introduce coeficiente sustituto.</w:t>
            </w:r>
          </w:p>
        </w:tc>
      </w:tr>
    </w:tbl>
    <w:p>
      <w:pPr/>
      <w:r>
        <w:rPr>
          <w:b/>
        </w:rPr>
        <w:t>MONETIZACIÓN ≠ ATRIBUCIÓN</w:t>
      </w:r>
    </w:p>
    <w:p>
      <w:pPr/>
      <w:r>
        <w:rPr>
          <w:b/>
        </w:rPr>
        <w:t>ATRIBUIR ≠ PONDERAR</w:t>
      </w:r>
    </w:p>
    <w:p>
      <w:pPr/>
      <w:r>
        <w:rPr>
          <w:b/>
        </w:rPr>
        <w:t>ATRIBUCIÓN ≠ COEFICIENTE DE DESCUENTO DEL COSTO</w:t>
      </w:r>
    </w:p>
    <w:p>
      <w:pPr/>
      <w:r>
        <w:t>La valoración económica se obtiene de la consecuencia proyectada y de los parámetros económicos trazables. Los rangos monetarios, cuando existan, provienen de la incertidumbre de la proyección, del valor unitario o del escenario; nunca de convertir la atribución en un porcentaje.</w:t>
      </w:r>
    </w:p>
    <w:p>
      <w:pPr>
        <w:pStyle w:val="Heading2"/>
      </w:pPr>
      <w:r>
        <w:rPr>
          <w:rFonts w:ascii="Aptos" w:hAnsi="Aptos"/>
          <w:sz w:val="20"/>
        </w:rPr>
        <w:t>24. Salidas económicas heredadas y reubicadas</w:t>
      </w:r>
    </w:p>
    <w:p>
      <w:pPr/>
      <w:r>
        <w:t>CFD / CFR / VER / ROI_P / TRE — ESTADO: MIGRACIÓN PENDIENTE DE AUDITORÍA HISTÓRICA CONTRA IFT v1.0 FINAL. No presentar CFR = VER como decisión metodológica cerrada — es una convergencia matemática observada tras eliminar la ponderación continua de atribución, no una equivalencia conceptual confirmada. Tres desenlaces posibles quedan abiertos: que históricamente fueran conceptos distintos y deban seguir siéndolo; que la eliminación de esa ponderación revele que uno es redundante; o que la diferencia deba residir en la base de cálculo, no en un coeficiente. No inventar cuál de los tres es correcto sin la fuente primaria.</w:t>
      </w:r>
    </w:p>
    <w:p>
      <w:pPr/>
      <w:r>
        <w:t>En v1.2.2 no se fija fórmula normativa para ninguna de estas cinco salidas. Su presencia en el prototipo o en versiones previas se conserva únicamente como genealogía técnica pendiente de auditoría.</w:t>
      </w:r>
    </w:p>
    <w:p>
      <w:pPr>
        <w:pStyle w:val="Heading3"/>
      </w:pPr>
      <w:r>
        <w:t>24.1 CFD</w:t>
      </w:r>
    </w:p>
    <w:p>
      <w:pPr/>
      <w:r>
        <w:t>Fórmula normativa: PENDIENTE DE AUDITORÍA HISTÓRICA CONTRA IFT v1.0 FINAL.</w:t>
      </w:r>
    </w:p>
    <w:p>
      <w:pPr>
        <w:pStyle w:val="Heading3"/>
      </w:pPr>
      <w:r>
        <w:t>24.2 CFR</w:t>
      </w:r>
    </w:p>
    <w:p>
      <w:pPr/>
      <w:r>
        <w:t>Fórmula normativa: PENDIENTE DE AUDITORÍA HISTÓRICA CONTRA IFT v1.0 FINAL.</w:t>
      </w:r>
    </w:p>
    <w:p>
      <w:pPr>
        <w:pStyle w:val="Heading3"/>
      </w:pPr>
      <w:r>
        <w:t>24.3 VER</w:t>
      </w:r>
    </w:p>
    <w:p>
      <w:pPr/>
      <w:r>
        <w:t>Fórmula normativa: PENDIENTE DE AUDITORÍA HISTÓRICA CONTRA IFT v1.0 FINAL.</w:t>
      </w:r>
    </w:p>
    <w:p>
      <w:pPr>
        <w:pStyle w:val="Heading3"/>
      </w:pPr>
      <w:r>
        <w:t>24.4 ROI_P</w:t>
      </w:r>
    </w:p>
    <w:p>
      <w:pPr/>
      <w:r>
        <w:t>Fórmula normativa: PENDIENTE DE AUDITORÍA HISTÓRICA CONTRA IFT v1.0 FINAL.</w:t>
      </w:r>
    </w:p>
    <w:p>
      <w:pPr>
        <w:pStyle w:val="Heading3"/>
      </w:pPr>
      <w:r>
        <w:t>24.5 TRE</w:t>
      </w:r>
    </w:p>
    <w:p>
      <w:pPr/>
      <w:r>
        <w:t>Fórmula normativa: PENDIENTE DE AUDITORÍA HISTÓRICA CONTRA IFT v1.0 FINAL.</w:t>
      </w:r>
    </w:p>
    <w:p>
      <w:pPr>
        <w:pStyle w:val="Heading2"/>
      </w:pPr>
      <w:r>
        <w:rPr>
          <w:rFonts w:ascii="Aptos" w:hAnsi="Aptos"/>
          <w:sz w:val="20"/>
        </w:rPr>
        <w:t>25. Control de doble conteo</w:t>
      </w:r>
    </w:p>
    <w:p>
      <w:r>
        <w:t>Antes de agregar impactos económicos se comparan evento, recurso, componente de costo y período. Un mismo costo no puede aparecer incorporado dentro de otra consecuencia y sumarse nuevamente.</w:t>
      </w:r>
    </w:p>
    <w:p>
      <w:pPr>
        <w:jc w:val="center"/>
      </w:pPr>
      <w:r>
        <w:rPr>
          <w:rFonts w:ascii="Cambria Math" w:hAnsi="Cambria Math"/>
          <w:b/>
          <w:sz w:val="21"/>
        </w:rPr>
        <w:t>Overlapᵢⱼ = f(EventID, ResourceID, CostComponentID, PeriodID)</w:t>
      </w:r>
    </w:p>
    <w:p>
      <w:r>
        <w:t>Si existe solapamiento material, el sistema genera alerta y bloquea la agregación automática.</w:t>
      </w:r>
    </w:p>
    <w:p>
      <w:pPr>
        <w:pStyle w:val="Heading2"/>
      </w:pPr>
      <w:r>
        <w:rPr>
          <w:rFonts w:ascii="Aptos" w:hAnsi="Aptos"/>
          <w:sz w:val="20"/>
        </w:rPr>
        <w:t>26. NULL, cero y no aplicable</w:t>
      </w:r>
    </w:p>
    <w:p>
      <w:pPr>
        <w:jc w:val="center"/>
      </w:pPr>
      <w:r>
        <w:rPr>
          <w:rFonts w:ascii="Cambria Math" w:hAnsi="Cambria Math"/>
          <w:b/>
          <w:sz w:val="21"/>
        </w:rPr>
        <w:t>0 = ausencia demostrada</w:t>
      </w:r>
    </w:p>
    <w:p>
      <w:pPr>
        <w:jc w:val="center"/>
      </w:pPr>
      <w:r>
        <w:rPr>
          <w:rFonts w:ascii="Cambria Math" w:hAnsi="Cambria Math"/>
          <w:b/>
          <w:sz w:val="21"/>
        </w:rPr>
        <w:t>NULL = no determinado</w:t>
      </w:r>
    </w:p>
    <w:p>
      <w:pPr>
        <w:jc w:val="center"/>
      </w:pPr>
      <w:r>
        <w:rPr>
          <w:rFonts w:ascii="Cambria Math" w:hAnsi="Cambria Math"/>
          <w:b/>
          <w:sz w:val="21"/>
        </w:rPr>
        <w:t>NA = no aplicable</w:t>
      </w:r>
    </w:p>
    <w:p>
      <w:pPr>
        <w:jc w:val="center"/>
      </w:pPr>
      <w:r>
        <w:rPr>
          <w:b/>
          <w:sz w:val="20"/>
        </w:rPr>
        <w:t>NO DETERMINADO ≠ AUSENCIA DE IMPACTO</w:t>
      </w:r>
    </w:p>
    <w:p>
      <w:pPr>
        <w:pStyle w:val="Heading1"/>
      </w:pPr>
      <w:r>
        <w:rPr>
          <w:rFonts w:ascii="Aptos" w:hAnsi="Aptos"/>
          <w:sz w:val="20"/>
        </w:rPr>
        <w:t>PARTE IV — ESPECIFICACIÓN DEL MOTOR</w:t>
      </w:r>
    </w:p>
    <w:p>
      <w:pPr>
        <w:pStyle w:val="Heading2"/>
      </w:pPr>
      <w:r>
        <w:rPr>
          <w:rFonts w:ascii="Aptos" w:hAnsi="Aptos"/>
          <w:sz w:val="20"/>
        </w:rPr>
        <w:t>27. Flujo lógico</w:t>
      </w:r>
    </w:p>
    <w:p>
      <w:pPr>
        <w:jc w:val="center"/>
      </w:pPr>
      <w:r>
        <w:t>EVIDENCIA PRESENTE → DETERIORO SUSTENTADO → ADMISIBILIDAD → FUERZA DE EVIDENCIA → VARIABLE + DOMINIO + EVOLUCIÓN → SUFICIENCIA DE SERIE → HORIZONTE SUSTENTABLE → MÉTODO ADMISIBLE → ESCENARIOS → INCERTIDUMBRE → IMPACTO FUTURO → MONETIZACIÓN CUANDO SEA TRAZABLE → CLASIFICACIÓN CATEGÓRICA DE ATRIBUCIÓN → CONTROL DE DOBLE CONTEO → SALIDA CONSOLIDADA → DECISIÓN → VERIFICACIÓN → CALIBRACIÓN</w:t>
      </w:r>
    </w:p>
    <w:p>
      <w:pPr>
        <w:pStyle w:val="Heading2"/>
      </w:pPr>
      <w:r>
        <w:rPr>
          <w:rFonts w:ascii="Aptos" w:hAnsi="Aptos"/>
          <w:sz w:val="20"/>
        </w:rPr>
        <w:t>28. Pseudocódigo normativo</w:t>
      </w:r>
    </w:p>
    <w:p>
      <w:r>
        <w:rPr>
          <w:rFonts w:ascii="Aptos" w:hAnsi="Aptos"/>
          <w:sz w:val="20"/>
        </w:rPr>
        <w:t>FOR each deterioration candidate:</w:t>
        <w:br/>
        <w:t xml:space="preserve">  validate attribution_category ∈ {CONFIRMED, SUPPORTED, UNRESOLVED, N_A}; otherwise reject input</w:t>
        <w:br/>
        <w:t xml:space="preserve">  admissible = AND(deterioration_sustained, evidence_present, mechanism_traceable, horizon_defined, assumptions_declared)</w:t>
        <w:br/>
        <w:t xml:space="preserve">  FEP = MIN(Q, C, T, R)</w:t>
        <w:br/>
        <w:t xml:space="preserve">  IF not admissible: output S0 / NO_PROYECTABLE; continue</w:t>
        <w:br/>
        <w:t xml:space="preserve">  IF FEP == 0: output S0 / NO_PROYECTABLE; continue</w:t>
        <w:br/>
        <w:t xml:space="preserve">  effective_FEP = FEP</w:t>
        <w:br/>
        <w:t xml:space="preserve">  IF H &gt; HMS: register horizon alert; degrade effective_FEP by one level, never below S1</w:t>
        <w:br/>
        <w:t xml:space="preserve">  IF variable_type == V5: output S1 / CUALITATIVO; continue</w:t>
        <w:br/>
        <w:t xml:space="preserve">  IF effective_FEP == 1: output S1 / CUALITATIVO; continue</w:t>
        <w:br/>
        <w:t xml:space="preserve">  IF series_sufficiency &lt; 2 for V1–V4: register series alert; output S1; continue</w:t>
        <w:br/>
        <w:t xml:space="preserve">  select projection method in this order when admissible:</w:t>
        <w:br/>
        <w:t xml:space="preserve">      V1 count by observed/future exposure</w:t>
        <w:br/>
        <w:t xml:space="preserve">      linear trend when trend parameters exist</w:t>
        <w:br/>
        <w:t xml:space="preserve">      multiplicative growth for EV-M</w:t>
        <w:br/>
        <w:t xml:space="preserve">      additive delta for EV-A</w:t>
        <w:br/>
        <w:t xml:space="preserve">      baseline/continuity when available</w:t>
        <w:br/>
        <w:t xml:space="preserve">      otherwise register incompatible-method alert; output S1; continue</w:t>
        <w:br/>
        <w:t xml:space="preserve">  enforce natural domain and register domain alert if exceeded</w:t>
        <w:br/>
        <w:t xml:space="preserve">  construct projection uncertainty according to the configured pre-pilot method</w:t>
        <w:br/>
        <w:t xml:space="preserve">  economic_base = NULL</w:t>
        <w:br/>
        <w:t xml:space="preserve">  economic_lower = NULL</w:t>
        <w:br/>
        <w:t xml:space="preserve">  economic_upper = NULL</w:t>
        <w:br/>
        <w:t xml:space="preserve">  IF unit_value exists AND economic_traceability == TRUE:</w:t>
        <w:br/>
        <w:t xml:space="preserve">      economic_base  = projection_base  × unit_value</w:t>
        <w:br/>
        <w:t xml:space="preserve">      economic_lower = projection_lower × unit_value</w:t>
        <w:br/>
        <w:t xml:space="preserve">      economic_upper = projection_upper × unit_value</w:t>
        <w:br/>
        <w:t xml:space="preserve">      # CRITICAL INVARIANT: attribution_category is NOT read in any of these three calculations</w:t>
        <w:br/>
        <w:t xml:space="preserve">      IF attribution_category == UNRESOLVED:</w:t>
        <w:br/>
        <w:t xml:space="preserve">          register epistemic attribution alert</w:t>
        <w:br/>
        <w:t xml:space="preserve">          restrict claim; DO NOT alter monetary value</w:t>
        <w:br/>
        <w:t xml:space="preserve">      IF containment parameters are present:</w:t>
        <w:br/>
        <w:t xml:space="preserve">          treat legacy VER/ROI_P fields as NON-NORMATIVE pending IFT v1.0 FINAL audit</w:t>
        <w:br/>
        <w:t xml:space="preserve">  ELSE IF unit_value exists AND economic_traceability == FALSE:</w:t>
        <w:br/>
        <w:t xml:space="preserve">      register economic-traceability alert</w:t>
        <w:br/>
        <w:t xml:space="preserve">  check double counting before aggregation</w:t>
        <w:br/>
        <w:t xml:space="preserve">  register uncertainty, assumptions, limitations and alerts</w:t>
        <w:br/>
        <w:t xml:space="preserve">  emit maximum output allowed by evidence</w:t>
        <w:br/>
        <w:br/>
        <w:t>NORMATIVE NOTE:</w:t>
        <w:br/>
        <w:t xml:space="preserve">  The reference prototype currently contains legacy computational fields named VER and ROI_P.</w:t>
        <w:br/>
        <w:t xml:space="preserve">  v1.2.2 does not ratify their formulas. They remain implementation genealogy pending historical audit.</w:t>
        <w:br/>
        <w:t xml:space="preserve">  The verified invariant carried forward is that attribution_category never multiplies economic_base/economic_lower/economic_upper.</w:t>
      </w:r>
    </w:p>
    <w:p>
      <w:pPr>
        <w:pStyle w:val="Heading2"/>
      </w:pPr>
      <w:r>
        <w:rPr>
          <w:rFonts w:ascii="Aptos" w:hAnsi="Aptos"/>
          <w:sz w:val="20"/>
        </w:rPr>
        <w:t>29. Alertas mínimas del motor</w:t>
      </w:r>
    </w:p>
    <w:p>
      <w:pPr>
        <w:pStyle w:val="ListBullet"/>
      </w:pPr>
      <w:r>
        <w:t>Evidencia/admisibilidad insuficiente</w:t>
      </w:r>
    </w:p>
    <w:p>
      <w:pPr>
        <w:pStyle w:val="ListBullet"/>
      </w:pPr>
      <w:r>
        <w:t>Contradicción material</w:t>
      </w:r>
    </w:p>
    <w:p>
      <w:pPr>
        <w:pStyle w:val="ListBullet"/>
      </w:pPr>
      <w:r>
        <w:t>Trazabilidad insuficiente</w:t>
      </w:r>
    </w:p>
    <w:p>
      <w:pPr>
        <w:pStyle w:val="ListBullet"/>
      </w:pPr>
      <w:r>
        <w:t>Serie insuficiente</w:t>
      </w:r>
    </w:p>
    <w:p>
      <w:pPr>
        <w:pStyle w:val="ListBullet"/>
      </w:pPr>
      <w:r>
        <w:t>Método incompatible</w:t>
      </w:r>
    </w:p>
    <w:p>
      <w:pPr>
        <w:pStyle w:val="ListBullet"/>
      </w:pPr>
      <w:r>
        <w:t>Dominio excedido</w:t>
      </w:r>
    </w:p>
    <w:p>
      <w:pPr>
        <w:pStyle w:val="ListBullet"/>
      </w:pPr>
      <w:r>
        <w:t>Horizonte excedido</w:t>
      </w:r>
    </w:p>
    <w:p>
      <w:pPr>
        <w:pStyle w:val="ListBullet"/>
      </w:pPr>
      <w:r>
        <w:t>Extrapolación no sustentable</w:t>
      </w:r>
    </w:p>
    <w:p>
      <w:pPr>
        <w:pStyle w:val="ListBullet"/>
      </w:pPr>
      <w:r>
        <w:t>Valor económico insuficiente</w:t>
      </w:r>
    </w:p>
    <w:p>
      <w:pPr>
        <w:pStyle w:val="ListBullet"/>
      </w:pPr>
      <w:r>
        <w:rPr>
          <w:rFonts w:ascii="Aptos" w:hAnsi="Aptos"/>
          <w:sz w:val="21"/>
        </w:rPr>
        <w:t>Atribución UNRESOLVED / estado de atribución no compatible con la afirmación</w:t>
      </w:r>
    </w:p>
    <w:p>
      <w:pPr>
        <w:pStyle w:val="ListBullet"/>
      </w:pPr>
      <w:r>
        <w:t>Doble conteo potencial</w:t>
      </w:r>
    </w:p>
    <w:p>
      <w:pPr>
        <w:pStyle w:val="ListBullet"/>
      </w:pPr>
      <w:r>
        <w:t>Intervención sin evidencia</w:t>
      </w:r>
    </w:p>
    <w:p>
      <w:pPr>
        <w:pStyle w:val="ListBullet"/>
      </w:pPr>
      <w:r>
        <w:t>Unidades incompatibles</w:t>
      </w:r>
    </w:p>
    <w:p>
      <w:pPr>
        <w:pStyle w:val="ListBullet"/>
      </w:pPr>
      <w:r>
        <w:t>Probabilidad no calibrada</w:t>
      </w:r>
    </w:p>
    <w:p>
      <w:pPr>
        <w:pStyle w:val="ListBullet"/>
      </w:pPr>
      <w:r>
        <w:t>Agregación heterogénea</w:t>
      </w:r>
    </w:p>
    <w:p>
      <w:pPr>
        <w:pStyle w:val="Heading2"/>
      </w:pPr>
      <w:r>
        <w:rPr>
          <w:rFonts w:ascii="Aptos" w:hAnsi="Aptos"/>
          <w:sz w:val="20"/>
        </w:rPr>
        <w:t>30. Degradación automática</w:t>
      </w:r>
    </w:p>
    <w:p>
      <w:pPr>
        <w:jc w:val="center"/>
      </w:pPr>
      <w:r>
        <w:rPr>
          <w:rFonts w:ascii="Cambria Math" w:hAnsi="Cambria Math"/>
          <w:b/>
          <w:sz w:val="21"/>
        </w:rPr>
        <w:t>S3 → S2 → S1 → S0</w:t>
      </w:r>
    </w:p>
    <w:p>
      <w:r>
        <w:t>La degradación es una propiedad central. El motor nunca aumenta la fuerza de una conclusión para compensar falta de evidencia.</w:t>
      </w:r>
    </w:p>
    <w:p>
      <w:pPr>
        <w:pStyle w:val="Heading2"/>
      </w:pPr>
      <w:r>
        <w:rPr>
          <w:rFonts w:ascii="Aptos" w:hAnsi="Aptos"/>
          <w:sz w:val="20"/>
        </w:rPr>
        <w:t>31. Estructura mínima de datos</w:t>
      </w:r>
    </w:p>
    <w:p>
      <w:pPr>
        <w:pStyle w:val="ListBullet"/>
      </w:pPr>
      <w:r>
        <w:t>identificación y versión</w:t>
      </w:r>
    </w:p>
    <w:p>
      <w:pPr>
        <w:pStyle w:val="ListBullet"/>
      </w:pPr>
      <w:r>
        <w:t>deterioro y fuentes de evidencia</w:t>
      </w:r>
    </w:p>
    <w:p>
      <w:pPr>
        <w:pStyle w:val="ListBullet"/>
      </w:pPr>
      <w:r>
        <w:t>Q/C/T/R y fuerza de evidencia</w:t>
      </w:r>
    </w:p>
    <w:p>
      <w:pPr>
        <w:pStyle w:val="ListBullet"/>
      </w:pPr>
      <w:r>
        <w:t>mecanismo</w:t>
      </w:r>
    </w:p>
    <w:p>
      <w:pPr>
        <w:pStyle w:val="ListBullet"/>
      </w:pPr>
      <w:r>
        <w:t>variable, unidad, dominio y evolución</w:t>
      </w:r>
    </w:p>
    <w:p>
      <w:pPr>
        <w:pStyle w:val="ListBullet"/>
      </w:pPr>
      <w:r>
        <w:t>suficiencia de serie</w:t>
      </w:r>
    </w:p>
    <w:p>
      <w:pPr>
        <w:pStyle w:val="ListBullet"/>
      </w:pPr>
      <w:r>
        <w:t>baseline y frecuencia</w:t>
      </w:r>
    </w:p>
    <w:p>
      <w:pPr>
        <w:pStyle w:val="ListBullet"/>
      </w:pPr>
      <w:r>
        <w:t>HMS y horizonte seleccionado</w:t>
      </w:r>
    </w:p>
    <w:p>
      <w:pPr>
        <w:pStyle w:val="ListBullet"/>
      </w:pPr>
      <w:r>
        <w:t>método</w:t>
      </w:r>
    </w:p>
    <w:p>
      <w:pPr>
        <w:pStyle w:val="ListBullet"/>
      </w:pPr>
      <w:r>
        <w:t>escenarios</w:t>
      </w:r>
    </w:p>
    <w:p>
      <w:pPr>
        <w:pStyle w:val="ListBullet"/>
      </w:pPr>
      <w:r>
        <w:t>rango proyectado</w:t>
      </w:r>
    </w:p>
    <w:p>
      <w:pPr>
        <w:pStyle w:val="ListBullet"/>
      </w:pPr>
      <w:r>
        <w:t>tipología de impacto</w:t>
      </w:r>
    </w:p>
    <w:p>
      <w:pPr>
        <w:pStyle w:val="ListBullet"/>
      </w:pPr>
      <w:r>
        <w:t>valor unitario y trazabilidad económica</w:t>
      </w:r>
    </w:p>
    <w:p>
      <w:pPr>
        <w:pStyle w:val="ListBullet"/>
      </w:pPr>
      <w:r>
        <w:rPr>
          <w:rFonts w:ascii="Aptos" w:hAnsi="Aptos"/>
          <w:sz w:val="20"/>
        </w:rPr>
        <w:t>attribution_category ∈ {CONFIRMED, SUPPORTED, UNRESOLVED, N_A}</w:t>
      </w:r>
    </w:p>
    <w:p>
      <w:pPr>
        <w:pStyle w:val="ListBullet"/>
      </w:pPr>
      <w:r>
        <w:rPr>
          <w:rFonts w:ascii="Aptos" w:hAnsi="Aptos"/>
          <w:sz w:val="20"/>
        </w:rPr>
        <w:t>economic_base / economic_lower / economic_upper; valoración económica independiente de attribution_category</w:t>
      </w:r>
    </w:p>
    <w:p>
      <w:pPr>
        <w:pStyle w:val="ListBullet"/>
      </w:pPr>
      <w:r>
        <w:t>identificadores de doble conteo</w:t>
      </w:r>
    </w:p>
    <w:p>
      <w:pPr>
        <w:pStyle w:val="ListBullet"/>
      </w:pPr>
      <w:r>
        <w:t>supuestos, limitaciones y alertas</w:t>
      </w:r>
    </w:p>
    <w:p>
      <w:pPr>
        <w:pStyle w:val="ListBullet"/>
      </w:pPr>
      <w:r>
        <w:t>nivel de salida</w:t>
      </w:r>
    </w:p>
    <w:p>
      <w:pPr>
        <w:pStyle w:val="ListBullet"/>
      </w:pPr>
      <w:r>
        <w:t>fecha de verificación, valor observado y error</w:t>
      </w:r>
    </w:p>
    <w:p>
      <w:pPr>
        <w:pStyle w:val="Heading2"/>
      </w:pPr>
      <w:r>
        <w:rPr>
          <w:rFonts w:ascii="Aptos" w:hAnsi="Aptos"/>
          <w:sz w:val="20"/>
        </w:rPr>
        <w:t>32. Reglas inviolables del motor</w:t>
      </w:r>
    </w:p>
    <w:p>
      <w:pPr>
        <w:pStyle w:val="ListBullet"/>
      </w:pPr>
      <w:r>
        <w:t>PROYECCIÓN ≠ PREDICCIÓN.</w:t>
      </w:r>
    </w:p>
    <w:p>
      <w:pPr>
        <w:pStyle w:val="ListBullet"/>
      </w:pPr>
      <w:r>
        <w:t>FUERZA DE EVIDENCIA ≠ PROBABILIDAD.</w:t>
      </w:r>
    </w:p>
    <w:p>
      <w:pPr>
        <w:pStyle w:val="ListBullet"/>
      </w:pPr>
      <w:r>
        <w:t>DIAGNÓSTICO ≠ CONSECUENCIA.</w:t>
      </w:r>
    </w:p>
    <w:p>
      <w:pPr>
        <w:pStyle w:val="ListBullet"/>
      </w:pPr>
      <w:r>
        <w:t>CONSECUENCIA ≠ COSTO AUTOMÁTICO.</w:t>
      </w:r>
    </w:p>
    <w:p>
      <w:pPr>
        <w:pStyle w:val="ListBullet"/>
      </w:pPr>
      <w:r>
        <w:t>CUANTIFICABLE ≠ MONETIZABLE.</w:t>
      </w:r>
    </w:p>
    <w:p>
      <w:pPr>
        <w:pStyle w:val="ListBullet"/>
      </w:pPr>
      <w:r>
        <w:t>EXPOSICIÓN ECONÓMICA ≠ ATRIBUCIÓN.</w:t>
      </w:r>
    </w:p>
    <w:p>
      <w:pPr>
        <w:pStyle w:val="ListBullet"/>
      </w:pPr>
      <w:r>
        <w:t>ATRIBUIR ≠ PONDERAR.</w:t>
      </w:r>
    </w:p>
    <w:p>
      <w:pPr>
        <w:pStyle w:val="ListBullet"/>
      </w:pPr>
      <w:r>
        <w:rPr>
          <w:rFonts w:ascii="Aptos" w:hAnsi="Aptos"/>
          <w:sz w:val="21"/>
        </w:rPr>
        <w:t>ATRIBUCIÓN ≠ COEFICIENTE DE DESCUENTO DEL COSTO.</w:t>
      </w:r>
    </w:p>
    <w:p>
      <w:pPr>
        <w:pStyle w:val="ListBullet"/>
      </w:pPr>
      <w:r>
        <w:t>CORRELACIÓN ≠ CAUSALIDAD.</w:t>
      </w:r>
    </w:p>
    <w:p>
      <w:pPr>
        <w:pStyle w:val="ListBullet"/>
      </w:pPr>
      <w:r>
        <w:t>RESULTADO HISTÓRICO ≠ FUTURO GARANTIZADO.</w:t>
      </w:r>
    </w:p>
    <w:p>
      <w:pPr>
        <w:pStyle w:val="ListBullet"/>
      </w:pPr>
      <w:r>
        <w:t>INTERVENCIÓN ≠ RECUPERACIÓN GARANTIZADA.</w:t>
      </w:r>
    </w:p>
    <w:p>
      <w:pPr>
        <w:pStyle w:val="ListBullet"/>
      </w:pPr>
      <w:r>
        <w:t>RELEVANCIA ESTRATÉGICA ≠ VENTAJA COMPETITIVA DEMOSTRADA.</w:t>
      </w:r>
    </w:p>
    <w:p>
      <w:pPr>
        <w:pStyle w:val="ListBullet"/>
      </w:pPr>
      <w:r>
        <w:t>NULL ≠ CERO.</w:t>
      </w:r>
    </w:p>
    <w:p>
      <w:pPr>
        <w:pStyle w:val="ListBullet"/>
      </w:pPr>
      <w:r>
        <w:t>CALCULABLE ≠ SUSTENTABLE.</w:t>
      </w:r>
    </w:p>
    <w:p>
      <w:pPr>
        <w:pStyle w:val="ListBullet"/>
      </w:pPr>
      <w:r>
        <w:t>IMPACTOS HETEROGÉNEOS NO SE SUMAN ARBITRARIAMENTE.</w:t>
      </w:r>
    </w:p>
    <w:p>
      <w:pPr>
        <w:pStyle w:val="Heading1"/>
      </w:pPr>
      <w:r>
        <w:rPr>
          <w:rFonts w:ascii="Aptos" w:hAnsi="Aptos"/>
          <w:sz w:val="20"/>
        </w:rPr>
        <w:t>PARTE V — VALIDACIÓN, PRUEBAS Y GOBERNANZA</w:t>
      </w:r>
    </w:p>
    <w:p>
      <w:pPr>
        <w:pStyle w:val="Heading2"/>
      </w:pPr>
      <w:r>
        <w:rPr>
          <w:rFonts w:ascii="Aptos" w:hAnsi="Aptos"/>
          <w:sz w:val="20"/>
        </w:rPr>
        <w:t>33. Stress test multicaso</w:t>
      </w:r>
    </w:p>
    <w:p>
      <w:r>
        <w:t>El primer stress test utilizó casos simulados de manufactura, servicios, tecnología, salud, retail, logística e intervención. No encontró una falla estructural que obligara a rediseñar IFD. Sí produjo controles obligatorios: dominio, suficiencia de serie, horizonte máximo sustentable, tipo de evolución, doble conteo granular, tratamiento de contradicción y delimitación de relevancia estratégica.</w:t>
      </w:r>
    </w:p>
    <w:p>
      <w:pPr>
        <w:pStyle w:val="Heading2"/>
      </w:pPr>
      <w:r>
        <w:rPr>
          <w:rFonts w:ascii="Aptos" w:hAnsi="Aptos"/>
          <w:sz w:val="20"/>
        </w:rPr>
        <w:t>34. Verificación computacional inicial</w:t>
      </w:r>
    </w:p>
    <w:p>
      <w:r>
        <w:rPr>
          <w:rFonts w:ascii="Aptos" w:hAnsi="Aptos"/>
          <w:sz w:val="21"/>
        </w:rPr>
        <w:t>Se implementó un prototipo del motor y se ejecutó una primera batería sintética. La corrección v1.2.1 incorpora además una prueba de regresión específica: CONFIRMED, SUPPORTED, UNRESOLVED y N_A producen exactamente la misma valoración económica cuando la consecuencia, el valor unitario y la trazabilidad son iguales. La categoría de atribución modifica únicamente lo que puede afirmarse sobre la relación, nunca la cifra mediante un coeficiente.</w:t>
      </w:r>
    </w:p>
    <w:p>
      <w:r>
        <w:t>Esta verificación demuestra consistencia de implementación inicial. No demuestra validez predictiva ni calibración empírica.</w:t>
      </w:r>
    </w:p>
    <w:p>
      <w:pPr>
        <w:pStyle w:val="Heading2"/>
      </w:pPr>
      <w:r>
        <w:rPr>
          <w:rFonts w:ascii="Aptos" w:hAnsi="Aptos"/>
          <w:sz w:val="20"/>
        </w:rPr>
        <w:t>35. Pruebas mínimas de implementación</w:t>
      </w:r>
    </w:p>
    <w:p>
      <w:pPr>
        <w:pStyle w:val="ListBullet"/>
      </w:pPr>
      <w:r>
        <w:t>Falta deterioro sustentado → no proyectable.</w:t>
      </w:r>
    </w:p>
    <w:p>
      <w:pPr>
        <w:pStyle w:val="ListBullet"/>
      </w:pPr>
      <w:r>
        <w:t>R=0 → no proyectable aunque la serie sea estadísticamente fuerte.</w:t>
      </w:r>
    </w:p>
    <w:p>
      <w:pPr>
        <w:pStyle w:val="ListBullet"/>
      </w:pPr>
      <w:r>
        <w:t>Una dimensión crítica en nivel 1 limita la salida.</w:t>
      </w:r>
    </w:p>
    <w:p>
      <w:pPr>
        <w:pStyle w:val="ListBullet"/>
      </w:pPr>
      <w:r>
        <w:t>Proporción fuera de dominio → control obligatorio.</w:t>
      </w:r>
    </w:p>
    <w:p>
      <w:pPr>
        <w:pStyle w:val="ListBullet"/>
      </w:pPr>
      <w:r>
        <w:t>H&gt;HMS → degradación o abstención.</w:t>
      </w:r>
    </w:p>
    <w:p>
      <w:pPr>
        <w:pStyle w:val="ListBullet"/>
      </w:pPr>
      <w:r>
        <w:t>Serie insuficiente → impedir método temporal no admisible.</w:t>
      </w:r>
    </w:p>
    <w:p>
      <w:pPr>
        <w:pStyle w:val="ListBullet"/>
      </w:pPr>
      <w:r>
        <w:t>Variable latente sin indicador → impedir porcentaje.</w:t>
      </w:r>
    </w:p>
    <w:p>
      <w:pPr>
        <w:pStyle w:val="ListBullet"/>
      </w:pPr>
      <w:r>
        <w:t>Cantidad sin valor unitario → no monetizar.</w:t>
      </w:r>
    </w:p>
    <w:p>
      <w:pPr>
        <w:pStyle w:val="ListBullet"/>
      </w:pPr>
      <w:r>
        <w:rPr>
          <w:rFonts w:ascii="Aptos" w:hAnsi="Aptos"/>
          <w:sz w:val="21"/>
        </w:rPr>
        <w:t>Atribución UNRESOLVED → conservar la valoración económica, pero impedir presentarla como costo atribuible demostrado.</w:t>
      </w:r>
    </w:p>
    <w:p>
      <w:pPr>
        <w:pStyle w:val="ListBullet"/>
      </w:pPr>
      <w:r>
        <w:t>Doble conteo → impedir suma automática.</w:t>
      </w:r>
    </w:p>
    <w:p>
      <w:pPr>
        <w:pStyle w:val="ListBullet"/>
      </w:pPr>
      <w:r>
        <w:rPr>
          <w:rFonts w:ascii="Aptos" w:hAnsi="Aptos"/>
          <w:sz w:val="20"/>
        </w:rPr>
        <w:t>Intervención sin evidencia → impedir cualquier salida económica de recuperación/retorno que dependa de un escenario de contención.</w:t>
      </w:r>
    </w:p>
    <w:p>
      <w:pPr>
        <w:pStyle w:val="ListBullet"/>
      </w:pPr>
      <w:r>
        <w:rPr>
          <w:rFonts w:ascii="Aptos" w:hAnsi="Aptos"/>
          <w:sz w:val="20"/>
        </w:rPr>
        <w:t>CFD / CFR / VER / ROI_P / TRE → no validar fórmula normativa hasta completar auditoría histórica IFT v1.0 FINAL.</w:t>
      </w:r>
    </w:p>
    <w:p>
      <w:pPr>
        <w:pStyle w:val="ListBullet"/>
      </w:pPr>
      <w:r>
        <w:rPr>
          <w:rFonts w:ascii="Aptos" w:hAnsi="Aptos"/>
          <w:sz w:val="20"/>
        </w:rPr>
        <w:t>Flujos no temporalizables → impedir cualquier métrica temporal de recuperación; TRE permanece pendiente de auditoría histórica.</w:t>
      </w:r>
    </w:p>
    <w:p>
      <w:pPr>
        <w:pStyle w:val="ListBullet"/>
      </w:pPr>
      <w:r>
        <w:t>Relevancia estratégica → no score competitivo.</w:t>
      </w:r>
    </w:p>
    <w:p>
      <w:pPr>
        <w:pStyle w:val="ListBullet"/>
      </w:pPr>
      <w:r>
        <w:t>Misma entrada + misma versión → misma salida.</w:t>
      </w:r>
    </w:p>
    <w:p>
      <w:pPr>
        <w:pStyle w:val="ListBullet"/>
      </w:pPr>
      <w:r>
        <w:t>Misma consecuencia + mismo valor unitario + misma trazabilidad + distinta attribution_category → misma valoración económica.</w:t>
      </w:r>
    </w:p>
    <w:p>
      <w:pPr>
        <w:pStyle w:val="ListBullet"/>
      </w:pPr>
      <w:r>
        <w:t>Entrada de atribución continua (p. ej., 0.70) → rechazar; solo se admiten las cuatro categorías discretas.</w:t>
      </w:r>
    </w:p>
    <w:p>
      <w:pPr>
        <w:pStyle w:val="Heading2"/>
      </w:pPr>
      <w:r>
        <w:rPr>
          <w:rFonts w:ascii="Aptos" w:hAnsi="Aptos"/>
          <w:sz w:val="20"/>
        </w:rPr>
        <w:t>36. Verificación posterior y calibración</w:t>
      </w:r>
    </w:p>
    <w:p>
      <w:pPr>
        <w:jc w:val="center"/>
      </w:pPr>
      <w:r>
        <w:rPr>
          <w:rFonts w:ascii="Cambria Math" w:hAnsi="Cambria Math"/>
          <w:b/>
          <w:sz w:val="21"/>
        </w:rPr>
        <w:t>Errorᵢ = Y_obs − Y_proj</w:t>
      </w:r>
    </w:p>
    <w:p>
      <w:pPr>
        <w:jc w:val="center"/>
      </w:pPr>
      <w:r>
        <w:rPr>
          <w:rFonts w:ascii="Cambria Math" w:hAnsi="Cambria Math"/>
          <w:b/>
          <w:sz w:val="21"/>
        </w:rPr>
        <w:t>EAᵢ = |Y_obs − Y_proj|</w:t>
      </w:r>
    </w:p>
    <w:p>
      <w:pPr>
        <w:jc w:val="center"/>
      </w:pPr>
      <w:r>
        <w:rPr>
          <w:rFonts w:ascii="Cambria Math" w:hAnsi="Cambria Math"/>
          <w:b/>
          <w:sz w:val="21"/>
        </w:rPr>
        <w:t>MAE = (1/n) Σ |Y_obs − Y_proj|</w:t>
      </w:r>
    </w:p>
    <w:p>
      <w:pPr>
        <w:jc w:val="center"/>
      </w:pPr>
      <w:r>
        <w:rPr>
          <w:rFonts w:ascii="Cambria Math" w:hAnsi="Cambria Math"/>
          <w:b/>
          <w:sz w:val="21"/>
        </w:rPr>
        <w:t>Sesgo = (1/n) Σ (Y_proj − Y_obs)</w:t>
      </w:r>
    </w:p>
    <w:p>
      <w:r>
        <w:t>Cuando se emitan rangos, también debe evaluarse cobertura: si el valor observado cae dentro del intervalo proyectado. Los errores solo se agregan entre variables comparables.</w:t>
      </w:r>
    </w:p>
    <w:p>
      <w:r>
        <w:rPr>
          <w:rFonts w:ascii="Aptos" w:hAnsi="Aptos"/>
          <w:sz w:val="20"/>
        </w:rPr>
        <w:t>El piloto deberá calibrar rúbricas de evidencia, requisitos de serie, horizontes, métodos por variable, incertidumbre, parámetros de escenarios de contención sustentados y criterios de priorización. La calibración no puede convertirse en ajuste oportunista para mejorar resultados comerciales.</w:t>
      </w:r>
    </w:p>
    <w:p>
      <w:pPr>
        <w:pStyle w:val="Heading2"/>
      </w:pPr>
      <w:r>
        <w:rPr>
          <w:rFonts w:ascii="Aptos" w:hAnsi="Aptos"/>
          <w:sz w:val="20"/>
        </w:rPr>
        <w:t>37. Gobernanza de parámetros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2F3"/>
          </w:tcPr>
          <w:p>
            <w:r/>
            <w:r>
              <w:rPr>
                <w:b/>
                <w:sz w:val="18"/>
              </w:rPr>
              <w:t>Clase</w:t>
            </w:r>
          </w:p>
        </w:tc>
        <w:tc>
          <w:tcPr>
            <w:tcW w:type="dxa" w:w="3264"/>
            <w:shd w:fill="D9E2F3"/>
          </w:tcPr>
          <w:p>
            <w:r/>
            <w:r>
              <w:rPr>
                <w:b/>
                <w:sz w:val="18"/>
              </w:rPr>
              <w:t>Ejemplos</w:t>
            </w:r>
          </w:p>
        </w:tc>
        <w:tc>
          <w:tcPr>
            <w:tcW w:type="dxa" w:w="3264"/>
            <w:shd w:fill="D9E2F3"/>
          </w:tcPr>
          <w:p>
            <w:r/>
            <w:r>
              <w:rPr>
                <w:b/>
                <w:sz w:val="18"/>
              </w:rPr>
              <w:t>Regla</w:t>
            </w:r>
          </w:p>
        </w:tc>
      </w:tr>
      <w:tr>
        <w:tc>
          <w:tcPr>
            <w:tcW w:type="dxa" w:w="3264"/>
          </w:tcPr>
          <w:p>
            <w:r/>
            <w:r>
              <w:rPr>
                <w:b/>
                <w:sz w:val="18"/>
              </w:rPr>
              <w:t>Estructurales</w:t>
            </w:r>
          </w:p>
        </w:tc>
        <w:tc>
          <w:tcPr>
            <w:tcW w:type="dxa" w:w="3264"/>
          </w:tcPr>
          <w:p>
            <w:r/>
            <w:r>
              <w:rPr>
                <w:b w:val="0"/>
                <w:sz w:val="18"/>
              </w:rPr>
              <w:t>admisibilidad, trazabilidad, separación diagnóstico/proyección, NULL/0/NA, doble conteo</w:t>
            </w:r>
          </w:p>
        </w:tc>
        <w:tc>
          <w:tcPr>
            <w:tcW w:type="dxa" w:w="3264"/>
          </w:tcPr>
          <w:p>
            <w:r/>
            <w:r>
              <w:rPr>
                <w:b w:val="0"/>
                <w:sz w:val="18"/>
              </w:rPr>
              <w:t>No cambian sin revisión metodológica</w:t>
            </w:r>
          </w:p>
        </w:tc>
      </w:tr>
      <w:tr>
        <w:tc>
          <w:tcPr>
            <w:tcW w:type="dxa" w:w="3264"/>
          </w:tcPr>
          <w:p>
            <w:r/>
            <w:r>
              <w:rPr>
                <w:b/>
                <w:sz w:val="18"/>
              </w:rPr>
              <w:t>Calibrables</w:t>
            </w:r>
          </w:p>
        </w:tc>
        <w:tc>
          <w:tcPr>
            <w:tcW w:type="dxa" w:w="3264"/>
          </w:tcPr>
          <w:p>
            <w:r/>
            <w:r>
              <w:rPr>
                <w:b w:val="0"/>
                <w:sz w:val="18"/>
              </w:rPr>
              <w:t>rúbricas, suficiencia de serie, HMS, percentiles, incertidumbre, factores de recuperación</w:t>
            </w:r>
          </w:p>
        </w:tc>
        <w:tc>
          <w:tcPr>
            <w:tcW w:type="dxa" w:w="3264"/>
          </w:tcPr>
          <w:p>
            <w:r/>
            <w:r>
              <w:rPr>
                <w:b w:val="0"/>
                <w:sz w:val="18"/>
              </w:rPr>
              <w:t>Cambian solo con evidencia documentada</w:t>
            </w:r>
          </w:p>
        </w:tc>
      </w:tr>
      <w:tr>
        <w:tc>
          <w:tcPr>
            <w:tcW w:type="dxa" w:w="3264"/>
          </w:tcPr>
          <w:p>
            <w:r/>
            <w:r>
              <w:rPr>
                <w:b/>
                <w:sz w:val="18"/>
              </w:rPr>
              <w:t>Organizacionales</w:t>
            </w:r>
          </w:p>
        </w:tc>
        <w:tc>
          <w:tcPr>
            <w:tcW w:type="dxa" w:w="3264"/>
          </w:tcPr>
          <w:p>
            <w:r/>
            <w:r>
              <w:rPr>
                <w:b w:val="0"/>
                <w:sz w:val="18"/>
              </w:rPr>
              <w:t>costo hora, valor unitario, exposición, volumen, costo de intervención</w:t>
            </w:r>
          </w:p>
        </w:tc>
        <w:tc>
          <w:tcPr>
            <w:tcW w:type="dxa" w:w="3264"/>
          </w:tcPr>
          <w:p>
            <w:r/>
            <w:r>
              <w:rPr>
                <w:b w:val="0"/>
                <w:sz w:val="18"/>
              </w:rPr>
              <w:t>Varían según la Empresa y deben tener fuente</w:t>
            </w:r>
          </w:p>
        </w:tc>
      </w:tr>
    </w:tbl>
    <w:p>
      <w:pPr>
        <w:pStyle w:val="Heading2"/>
      </w:pPr>
      <w:r>
        <w:rPr>
          <w:rFonts w:ascii="Aptos" w:hAnsi="Aptos"/>
          <w:sz w:val="20"/>
        </w:rPr>
        <w:t>38. Versionamiento</w:t>
      </w:r>
    </w:p>
    <w:p>
      <w:r>
        <w:t>Toda ejecución debe registrar la versión exacta del motor. Una versión nueva no reescribe silenciosamente resultados históricos. Cualquier cambio calibrable debe documentar parámetro anterior, parámetro nuevo, evidencia, muestra, efecto y versión.</w:t>
      </w:r>
    </w:p>
    <w:p>
      <w:pPr>
        <w:pStyle w:val="Heading2"/>
      </w:pPr>
      <w:r>
        <w:rPr>
          <w:rFonts w:ascii="Aptos" w:hAnsi="Aptos"/>
          <w:sz w:val="20"/>
        </w:rPr>
        <w:t>39. Estado de cierre</w:t>
      </w:r>
    </w:p>
    <w:tbl>
      <w:tblPr>
        <w:tblStyle w:val="TableGrid"/>
        <w:tblW w:type="auto" w:w="0"/>
        <w:tblLook w:firstColumn="1" w:firstRow="1" w:lastColumn="0" w:lastRow="0" w:noHBand="0" w:noVBand="1" w:val="04A0"/>
      </w:tblPr>
      <w:tblGrid>
        <w:gridCol w:w="4896"/>
        <w:gridCol w:w="4896"/>
      </w:tblGrid>
      <w:tr>
        <w:trPr>
          <w:tblHeader w:val="true"/>
        </w:trPr>
        <w:tc>
          <w:tcPr>
            <w:tcW w:type="dxa" w:w="4896"/>
            <w:shd w:fill="D9E2F3"/>
          </w:tcPr>
          <w:p>
            <w:r/>
            <w:r>
              <w:rPr>
                <w:b/>
                <w:sz w:val="18"/>
              </w:rPr>
              <w:t>Componente</w:t>
            </w:r>
          </w:p>
        </w:tc>
        <w:tc>
          <w:tcPr>
            <w:tcW w:type="dxa" w:w="4896"/>
            <w:shd w:fill="D9E2F3"/>
          </w:tcPr>
          <w:p>
            <w:r/>
            <w:r>
              <w:rPr>
                <w:b/>
                <w:sz w:val="18"/>
              </w:rPr>
              <w:t>Estado</w:t>
            </w:r>
          </w:p>
        </w:tc>
      </w:tr>
      <w:tr>
        <w:tc>
          <w:tcPr>
            <w:tcW w:type="dxa" w:w="4896"/>
          </w:tcPr>
          <w:p>
            <w:r/>
            <w:r>
              <w:rPr>
                <w:b/>
                <w:sz w:val="18"/>
              </w:rPr>
              <w:t>Definición y función</w:t>
            </w:r>
          </w:p>
        </w:tc>
        <w:tc>
          <w:tcPr>
            <w:tcW w:type="dxa" w:w="4896"/>
          </w:tcPr>
          <w:p>
            <w:r/>
            <w:r>
              <w:rPr>
                <w:b w:val="0"/>
                <w:sz w:val="18"/>
              </w:rPr>
              <w:t>CERRADAS PRE-PILOTO</w:t>
            </w:r>
          </w:p>
        </w:tc>
      </w:tr>
      <w:tr>
        <w:tc>
          <w:tcPr>
            <w:tcW w:type="dxa" w:w="4896"/>
          </w:tcPr>
          <w:p>
            <w:r/>
            <w:r>
              <w:rPr>
                <w:b/>
                <w:sz w:val="18"/>
              </w:rPr>
              <w:t>Arquitectura prospectiva</w:t>
            </w:r>
          </w:p>
        </w:tc>
        <w:tc>
          <w:tcPr>
            <w:tcW w:type="dxa" w:w="4896"/>
          </w:tcPr>
          <w:p>
            <w:r/>
            <w:r>
              <w:rPr>
                <w:b w:val="0"/>
                <w:sz w:val="18"/>
              </w:rPr>
              <w:t>CERRADA PRE-PILOTO</w:t>
            </w:r>
          </w:p>
        </w:tc>
      </w:tr>
      <w:tr>
        <w:tc>
          <w:tcPr>
            <w:tcW w:type="dxa" w:w="4896"/>
          </w:tcPr>
          <w:p>
            <w:r/>
            <w:r>
              <w:rPr>
                <w:b/>
                <w:sz w:val="18"/>
              </w:rPr>
              <w:t>Puerta de admisibilidad</w:t>
            </w:r>
          </w:p>
        </w:tc>
        <w:tc>
          <w:tcPr>
            <w:tcW w:type="dxa" w:w="4896"/>
          </w:tcPr>
          <w:p>
            <w:r/>
            <w:r>
              <w:rPr>
                <w:b w:val="0"/>
                <w:sz w:val="18"/>
              </w:rPr>
              <w:t>CERRADA PRE-PILOTO</w:t>
            </w:r>
          </w:p>
        </w:tc>
      </w:tr>
      <w:tr>
        <w:tc>
          <w:tcPr>
            <w:tcW w:type="dxa" w:w="4896"/>
          </w:tcPr>
          <w:p>
            <w:r/>
            <w:r>
              <w:rPr>
                <w:b/>
                <w:sz w:val="18"/>
              </w:rPr>
              <w:t>Regla de fuerza de evidencia</w:t>
            </w:r>
          </w:p>
        </w:tc>
        <w:tc>
          <w:tcPr>
            <w:tcW w:type="dxa" w:w="4896"/>
          </w:tcPr>
          <w:p>
            <w:r/>
            <w:r>
              <w:rPr>
                <w:b w:val="0"/>
                <w:sz w:val="18"/>
              </w:rPr>
              <w:t>CERRADA PRE-PILOTO; calibración pendiente</w:t>
            </w:r>
          </w:p>
        </w:tc>
      </w:tr>
      <w:tr>
        <w:tc>
          <w:tcPr>
            <w:tcW w:type="dxa" w:w="4896"/>
          </w:tcPr>
          <w:p>
            <w:r/>
            <w:r>
              <w:rPr>
                <w:b/>
                <w:sz w:val="18"/>
              </w:rPr>
              <w:t>Clasificación y dominios</w:t>
            </w:r>
          </w:p>
        </w:tc>
        <w:tc>
          <w:tcPr>
            <w:tcW w:type="dxa" w:w="4896"/>
          </w:tcPr>
          <w:p>
            <w:r/>
            <w:r>
              <w:rPr>
                <w:b w:val="0"/>
                <w:sz w:val="18"/>
              </w:rPr>
              <w:t>CERRADOS PRE-PILOTO</w:t>
            </w:r>
          </w:p>
        </w:tc>
      </w:tr>
      <w:tr>
        <w:tc>
          <w:tcPr>
            <w:tcW w:type="dxa" w:w="4896"/>
          </w:tcPr>
          <w:p>
            <w:r/>
            <w:r>
              <w:rPr>
                <w:b/>
                <w:sz w:val="18"/>
              </w:rPr>
              <w:t>Escenarios</w:t>
            </w:r>
          </w:p>
        </w:tc>
        <w:tc>
          <w:tcPr>
            <w:tcW w:type="dxa" w:w="4896"/>
          </w:tcPr>
          <w:p>
            <w:r/>
            <w:r>
              <w:rPr>
                <w:b w:val="0"/>
                <w:sz w:val="18"/>
              </w:rPr>
              <w:t>CERRADOS PRE-PILOTO; parámetros calibrables</w:t>
            </w:r>
          </w:p>
        </w:tc>
      </w:tr>
      <w:tr>
        <w:tc>
          <w:tcPr>
            <w:tcW w:type="dxa" w:w="4896"/>
          </w:tcPr>
          <w:p>
            <w:r/>
            <w:r>
              <w:rPr>
                <w:b/>
                <w:sz w:val="18"/>
              </w:rPr>
              <w:t>Módulo económico</w:t>
            </w:r>
          </w:p>
        </w:tc>
        <w:tc>
          <w:tcPr>
            <w:tcW w:type="dxa" w:w="4896"/>
          </w:tcPr>
          <w:p>
            <w:r>
              <w:t>CERRADO PRE-PILOTO EN SU ARQUITECTURA GENERAL; CFD/CFR/VER/ROI_P/TRE pendientes de auditoría histórica</w:t>
            </w:r>
          </w:p>
        </w:tc>
      </w:tr>
      <w:tr>
        <w:tc>
          <w:tcPr>
            <w:tcW w:type="dxa" w:w="4896"/>
          </w:tcPr>
          <w:p>
            <w:r/>
            <w:r>
              <w:rPr>
                <w:b/>
                <w:sz w:val="18"/>
              </w:rPr>
              <w:t>Motor computacional</w:t>
            </w:r>
          </w:p>
        </w:tc>
        <w:tc>
          <w:tcPr>
            <w:tcW w:type="dxa" w:w="4896"/>
          </w:tcPr>
          <w:p>
            <w:r/>
            <w:r>
              <w:rPr>
                <w:b w:val="0"/>
                <w:sz w:val="18"/>
              </w:rPr>
              <w:t>IMPLEMENTADO EN PROTOTIPO INICIAL</w:t>
            </w:r>
          </w:p>
        </w:tc>
      </w:tr>
      <w:tr>
        <w:tc>
          <w:tcPr>
            <w:tcW w:type="dxa" w:w="4896"/>
          </w:tcPr>
          <w:p>
            <w:r/>
            <w:r>
              <w:rPr>
                <w:b/>
                <w:sz w:val="18"/>
              </w:rPr>
              <w:t>Primera batería sintética</w:t>
            </w:r>
          </w:p>
        </w:tc>
        <w:tc>
          <w:tcPr>
            <w:tcW w:type="dxa" w:w="4896"/>
          </w:tcPr>
          <w:p>
            <w:r/>
            <w:r>
              <w:rPr>
                <w:b w:val="0"/>
                <w:sz w:val="18"/>
              </w:rPr>
              <w:t>SUPERADA</w:t>
            </w:r>
          </w:p>
        </w:tc>
      </w:tr>
      <w:tr>
        <w:tc>
          <w:tcPr>
            <w:tcW w:type="dxa" w:w="4896"/>
          </w:tcPr>
          <w:p>
            <w:r/>
            <w:r>
              <w:rPr>
                <w:b/>
                <w:sz w:val="18"/>
              </w:rPr>
              <w:t>Stress test adversarial masivo</w:t>
            </w:r>
          </w:p>
        </w:tc>
        <w:tc>
          <w:tcPr>
            <w:tcW w:type="dxa" w:w="4896"/>
          </w:tcPr>
          <w:p>
            <w:r/>
            <w:r>
              <w:rPr>
                <w:b w:val="0"/>
                <w:sz w:val="18"/>
              </w:rPr>
              <w:t>PENDIENTE</w:t>
            </w:r>
          </w:p>
        </w:tc>
      </w:tr>
      <w:tr>
        <w:tc>
          <w:tcPr>
            <w:tcW w:type="dxa" w:w="4896"/>
          </w:tcPr>
          <w:p>
            <w:r/>
            <w:r>
              <w:rPr>
                <w:b/>
                <w:sz w:val="18"/>
              </w:rPr>
              <w:t>Piloto organizacional</w:t>
            </w:r>
          </w:p>
        </w:tc>
        <w:tc>
          <w:tcPr>
            <w:tcW w:type="dxa" w:w="4896"/>
          </w:tcPr>
          <w:p>
            <w:r/>
            <w:r>
              <w:rPr>
                <w:b w:val="0"/>
                <w:sz w:val="18"/>
              </w:rPr>
              <w:t>PENDIENTE</w:t>
            </w:r>
          </w:p>
        </w:tc>
      </w:tr>
      <w:tr>
        <w:tc>
          <w:tcPr>
            <w:tcW w:type="dxa" w:w="4896"/>
          </w:tcPr>
          <w:p>
            <w:r/>
            <w:r>
              <w:rPr>
                <w:b/>
                <w:sz w:val="18"/>
              </w:rPr>
              <w:t>Validación empírica prospectiva</w:t>
            </w:r>
          </w:p>
        </w:tc>
        <w:tc>
          <w:tcPr>
            <w:tcW w:type="dxa" w:w="4896"/>
          </w:tcPr>
          <w:p>
            <w:r/>
            <w:r>
              <w:rPr>
                <w:b w:val="0"/>
                <w:sz w:val="18"/>
              </w:rPr>
              <w:t>PENDIENTE</w:t>
            </w:r>
          </w:p>
        </w:tc>
      </w:tr>
      <w:tr>
        <w:tc>
          <w:tcPr>
            <w:tcW w:type="dxa" w:w="4896"/>
          </w:tcPr>
          <w:p>
            <w:r>
              <w:t>Relación CFF ↔ IFD</w:t>
            </w:r>
          </w:p>
        </w:tc>
        <w:tc>
          <w:tcPr>
            <w:tcW w:type="dxa" w:w="4896"/>
          </w:tcPr>
          <w:p>
            <w:r>
              <w:t>CERRADA: evidencia común sin dependencia aritmética</w:t>
            </w:r>
          </w:p>
        </w:tc>
      </w:tr>
      <w:tr>
        <w:tc>
          <w:tcPr>
            <w:tcW w:type="dxa" w:w="4896"/>
          </w:tcPr>
          <w:p>
            <w:r>
              <w:t>Atribución categórica</w:t>
            </w:r>
          </w:p>
        </w:tc>
        <w:tc>
          <w:tcPr>
            <w:tcW w:type="dxa" w:w="4896"/>
          </w:tcPr>
          <w:p>
            <w:r>
              <w:t>CERRADA: cuatro categorías discretas; no pondera monetización</w:t>
            </w:r>
          </w:p>
        </w:tc>
      </w:tr>
    </w:tbl>
    <w:p>
      <w:pPr>
        <w:pStyle w:val="Heading1"/>
      </w:pPr>
      <w:r>
        <w:t>ANEXO A — TRAZABILIDAD IFT → IFD</w:t>
      </w:r>
    </w:p>
    <w:p>
      <w:r>
        <w:t>IFT permanece como antecedente genealógico del componente económico prospectivo. IFD amplía el objeto: primero proyecta consecuencias futuras del deterioro y monetiza únicamente cuando la evidencia permite trazabilidad económica.</w:t>
      </w:r>
    </w:p>
    <w:p>
      <w:pPr>
        <w:jc w:val="center"/>
      </w:pPr>
      <w:r>
        <w:rPr>
          <w:b/>
          <w:sz w:val="20"/>
        </w:rPr>
        <w:t>IFT HISTÓRICO → ÉNFASIS ECONÓMICO PROSPECTIVO</w:t>
      </w:r>
    </w:p>
    <w:p>
      <w:pPr>
        <w:jc w:val="center"/>
      </w:pPr>
      <w:r>
        <w:rPr>
          <w:b/>
          <w:sz w:val="20"/>
        </w:rPr>
        <w:t>IFD VIGENTE → IMPACTO FUTURO + ECONOMÍA CUANDO SEA TRAZABLE</w:t>
      </w:r>
    </w:p>
    <w:p>
      <w:r>
        <w:t>Se conservan conceptualmente la naturaleza prospectiva, escenarios, incertidumbre y posibilidad de valoración económica. Se eliminan monetización automática, score×coeficiente, causalidad implícita, probabilidades no calibradas, recuperación garantizada y salida financiera obligatoria.</w:t>
      </w:r>
    </w:p>
    <w:p>
      <w:r>
        <w:rPr>
          <w:rFonts w:ascii="Aptos" w:hAnsi="Aptos"/>
          <w:sz w:val="20"/>
        </w:rPr>
        <w:t>CFD / CFR / VER / ROI_P / TRE permanecen como salidas heredadas en migración pendiente. No se fija en v1.2.2 su fórmula normativa ni se presenta CFR = VER como equivalencia conceptual. Antes de conservar, redefinir, fusionar o eliminar cualquiera de ellas, debe recuperarse y contrastarse el Documento Técnico IFT v1.0 FINAL.</w:t>
      </w:r>
    </w:p>
    <w:p>
      <w:pPr>
        <w:pStyle w:val="Heading1"/>
      </w:pPr>
      <w:r>
        <w:t>ANEXO B — NOMENCLATURA TÉCNICA Y DEPURACIÓN</w:t>
      </w:r>
    </w:p>
    <w:p>
      <w:r>
        <w:t>Para evitar sobrecargar la arquitectura intelectual de EFICIENCIA, se distinguen nombres conceptuales de identificadores internos de implementación.</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2F3"/>
          </w:tcPr>
          <w:p>
            <w:r/>
            <w:r>
              <w:rPr>
                <w:b/>
                <w:sz w:val="18"/>
              </w:rPr>
              <w:t>Elemento</w:t>
            </w:r>
          </w:p>
        </w:tc>
        <w:tc>
          <w:tcPr>
            <w:tcW w:type="dxa" w:w="3264"/>
            <w:shd w:fill="D9E2F3"/>
          </w:tcPr>
          <w:p>
            <w:r>
              <w:t>Tratamiento v1.2.2</w:t>
            </w:r>
          </w:p>
        </w:tc>
        <w:tc>
          <w:tcPr>
            <w:tcW w:type="dxa" w:w="3264"/>
            <w:shd w:fill="D9E2F3"/>
          </w:tcPr>
          <w:p>
            <w:r/>
            <w:r>
              <w:rPr>
                <w:b/>
                <w:sz w:val="18"/>
              </w:rPr>
              <w:t>Observación</w:t>
            </w:r>
          </w:p>
        </w:tc>
      </w:tr>
      <w:tr>
        <w:tc>
          <w:tcPr>
            <w:tcW w:type="dxa" w:w="3264"/>
          </w:tcPr>
          <w:p>
            <w:r/>
            <w:r>
              <w:rPr>
                <w:b/>
                <w:sz w:val="18"/>
              </w:rPr>
              <w:t>IFD</w:t>
            </w:r>
          </w:p>
        </w:tc>
        <w:tc>
          <w:tcPr>
            <w:tcW w:type="dxa" w:w="3264"/>
          </w:tcPr>
          <w:p>
            <w:r/>
            <w:r>
              <w:rPr>
                <w:b w:val="0"/>
                <w:sz w:val="18"/>
              </w:rPr>
              <w:t>CANÓNICO</w:t>
            </w:r>
          </w:p>
        </w:tc>
        <w:tc>
          <w:tcPr>
            <w:tcW w:type="dxa" w:w="3264"/>
          </w:tcPr>
          <w:p>
            <w:r/>
            <w:r>
              <w:rPr>
                <w:b w:val="0"/>
                <w:sz w:val="18"/>
              </w:rPr>
              <w:t>Nombre formal del instrumento</w:t>
            </w:r>
          </w:p>
        </w:tc>
      </w:tr>
      <w:tr>
        <w:tc>
          <w:tcPr>
            <w:tcW w:type="dxa" w:w="3264"/>
          </w:tcPr>
          <w:p>
            <w:r>
              <w:t>CFD / CFR / VER / ROI_P / TRE</w:t>
            </w:r>
          </w:p>
        </w:tc>
        <w:tc>
          <w:tcPr>
            <w:tcW w:type="dxa" w:w="3264"/>
          </w:tcPr>
          <w:p>
            <w:r>
              <w:t>TÉCNICOS ECONÓMICOS — MIGRACIÓN PENDIENTE</w:t>
            </w:r>
          </w:p>
        </w:tc>
        <w:tc>
          <w:tcPr>
            <w:tcW w:type="dxa" w:w="3264"/>
          </w:tcPr>
          <w:p>
            <w:r>
              <w:t>No fijar fórmulas ni equivalencias hasta auditoría histórica contra IFT v1.0 FINAL.</w:t>
            </w:r>
          </w:p>
        </w:tc>
      </w:tr>
      <w:tr>
        <w:tc>
          <w:tcPr>
            <w:tcW w:type="dxa" w:w="3264"/>
          </w:tcPr>
          <w:p>
            <w:r/>
            <w:r>
              <w:rPr>
                <w:b/>
                <w:sz w:val="18"/>
              </w:rPr>
              <w:t>EPD</w:t>
            </w:r>
          </w:p>
        </w:tc>
        <w:tc>
          <w:tcPr>
            <w:tcW w:type="dxa" w:w="3264"/>
          </w:tcPr>
          <w:p>
            <w:r/>
            <w:r>
              <w:rPr>
                <w:b w:val="0"/>
                <w:sz w:val="18"/>
              </w:rPr>
              <w:t>TÉCNICO INTERNO</w:t>
            </w:r>
          </w:p>
        </w:tc>
        <w:tc>
          <w:tcPr>
            <w:tcW w:type="dxa" w:w="3264"/>
          </w:tcPr>
          <w:p>
            <w:r/>
            <w:r>
              <w:rPr>
                <w:b w:val="0"/>
                <w:sz w:val="18"/>
              </w:rPr>
              <w:t>Útil como unidad de motor; no necesariamente comercial</w:t>
            </w:r>
          </w:p>
        </w:tc>
      </w:tr>
      <w:tr>
        <w:tc>
          <w:tcPr>
            <w:tcW w:type="dxa" w:w="3264"/>
          </w:tcPr>
          <w:p>
            <w:r/>
            <w:r>
              <w:rPr>
                <w:b/>
                <w:sz w:val="18"/>
              </w:rPr>
              <w:t>FEP</w:t>
            </w:r>
          </w:p>
        </w:tc>
        <w:tc>
          <w:tcPr>
            <w:tcW w:type="dxa" w:w="3264"/>
          </w:tcPr>
          <w:p>
            <w:r/>
            <w:r>
              <w:rPr>
                <w:b w:val="0"/>
                <w:sz w:val="18"/>
              </w:rPr>
              <w:t>TÉCNICO PRE-PILOTO</w:t>
            </w:r>
          </w:p>
        </w:tc>
        <w:tc>
          <w:tcPr>
            <w:tcW w:type="dxa" w:w="3264"/>
          </w:tcPr>
          <w:p>
            <w:r/>
            <w:r>
              <w:rPr>
                <w:b w:val="0"/>
                <w:sz w:val="18"/>
              </w:rPr>
              <w:t>La regla es estructural; la sigla puede revisarse tras piloto</w:t>
            </w:r>
          </w:p>
        </w:tc>
      </w:tr>
      <w:tr>
        <w:tc>
          <w:tcPr>
            <w:tcW w:type="dxa" w:w="3264"/>
          </w:tcPr>
          <w:p>
            <w:r/>
            <w:r>
              <w:rPr>
                <w:b/>
                <w:sz w:val="18"/>
              </w:rPr>
              <w:t>V1–V5 / SS / HMS</w:t>
            </w:r>
          </w:p>
        </w:tc>
        <w:tc>
          <w:tcPr>
            <w:tcW w:type="dxa" w:w="3264"/>
          </w:tcPr>
          <w:p>
            <w:r/>
            <w:r>
              <w:rPr>
                <w:b w:val="0"/>
                <w:sz w:val="18"/>
              </w:rPr>
              <w:t>IDENTIFICADORES INTERNOS</w:t>
            </w:r>
          </w:p>
        </w:tc>
        <w:tc>
          <w:tcPr>
            <w:tcW w:type="dxa" w:w="3264"/>
          </w:tcPr>
          <w:p>
            <w:r/>
            <w:r>
              <w:rPr>
                <w:b w:val="0"/>
                <w:sz w:val="18"/>
              </w:rPr>
              <w:t>No necesitan convertirse en categorías del Documento Madre</w:t>
            </w:r>
          </w:p>
        </w:tc>
      </w:tr>
      <w:tr>
        <w:tc>
          <w:tcPr>
            <w:tcW w:type="dxa" w:w="3264"/>
          </w:tcPr>
          <w:p>
            <w:r/>
            <w:r>
              <w:rPr>
                <w:b/>
                <w:sz w:val="18"/>
              </w:rPr>
              <w:t>ICAP / IOF / IEP / IEF</w:t>
            </w:r>
          </w:p>
        </w:tc>
        <w:tc>
          <w:tcPr>
            <w:tcW w:type="dxa" w:w="3264"/>
          </w:tcPr>
          <w:p>
            <w:r/>
            <w:r>
              <w:rPr>
                <w:b w:val="0"/>
                <w:sz w:val="18"/>
              </w:rPr>
              <w:t>DESCRIPTIVOS INTERNOS</w:t>
            </w:r>
          </w:p>
        </w:tc>
        <w:tc>
          <w:tcPr>
            <w:tcW w:type="dxa" w:w="3264"/>
          </w:tcPr>
          <w:p>
            <w:r/>
            <w:r>
              <w:rPr>
                <w:b w:val="0"/>
                <w:sz w:val="18"/>
              </w:rPr>
              <w:t>Preferir en comunicación conceptual los nombres completos; evitar proliferación de siglas</w:t>
            </w:r>
          </w:p>
        </w:tc>
      </w:tr>
      <w:tr>
        <w:tc>
          <w:tcPr>
            <w:tcW w:type="dxa" w:w="3264"/>
          </w:tcPr>
          <w:p>
            <w:r/>
            <w:r>
              <w:rPr>
                <w:b/>
                <w:sz w:val="18"/>
              </w:rPr>
              <w:t>PPI</w:t>
            </w:r>
          </w:p>
        </w:tc>
        <w:tc>
          <w:tcPr>
            <w:tcW w:type="dxa" w:w="3264"/>
          </w:tcPr>
          <w:p>
            <w:r/>
            <w:r>
              <w:rPr>
                <w:b w:val="0"/>
                <w:sz w:val="18"/>
              </w:rPr>
              <w:t>SALIDA TÉCNICA PROPUESTA</w:t>
            </w:r>
          </w:p>
        </w:tc>
        <w:tc>
          <w:tcPr>
            <w:tcW w:type="dxa" w:w="3264"/>
          </w:tcPr>
          <w:p>
            <w:r/>
            <w:r>
              <w:rPr>
                <w:b w:val="0"/>
                <w:sz w:val="18"/>
              </w:rPr>
              <w:t>Mantener como representación consolidada solo si demuestra utilidad en piloto</w:t>
            </w:r>
          </w:p>
        </w:tc>
      </w:tr>
    </w:tbl>
    <w:p>
      <w:pPr>
        <w:pStyle w:val="Heading1"/>
      </w:pPr>
      <w:r>
        <w:t>ANEXO C — DECLARACIÓN DE IMPLEMENTACIÓN</w:t>
      </w:r>
    </w:p>
    <w:p>
      <w:r>
        <w:rPr>
          <w:rFonts w:ascii="Aptos" w:hAnsi="Aptos"/>
          <w:sz w:val="20"/>
        </w:rPr>
        <w:t>La especificación integral v1.2.2 es suficientemente completa para construir y probar el motor pre-piloto. No autoriza afirmar que IFD predice resultados reales ni que sus rangos, factores o horizontes estén calibrados para sectores específicos.</w:t>
      </w:r>
    </w:p>
    <w:p>
      <w:pPr>
        <w:jc w:val="center"/>
      </w:pPr>
      <w:r>
        <w:rPr>
          <w:rFonts w:ascii="Aptos" w:hAnsi="Aptos"/>
          <w:sz w:val="21"/>
        </w:rPr>
        <w:t>OBSERVAR → SUSTENTAR → PROYECTAR → CUANTIFICAR → MONETIZAR → CLASIFICAR ATRIBUCIÓN → DECIDIR → VERIFICAR</w:t>
      </w:r>
    </w:p>
    <w:p>
      <w:r>
        <w:t>La cadena avanza únicamente hasta donde la evidencia permite. La capacidad de abstenerse es parte del funcionamiento correcto del instrumento.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20"/>
      </w:rPr>
      <w:t>Sistema EFICIENCIA — Documento Técnico IFD v1.2.2 PRE-PILOTO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