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60"/>
        <w:jc w:val="center"/>
      </w:pPr>
      <w:r>
        <w:rPr>
          <w:rFonts w:ascii="Calibri" w:hAnsi="Calibri"/>
          <w:b/>
          <w:i w:val="0"/>
          <w:color w:val="0B2545"/>
          <w:sz w:val="54"/>
        </w:rPr>
        <w:t>JEFF OUTREACH ENGINE</w:t>
      </w:r>
    </w:p>
    <w:p>
      <w:pPr>
        <w:spacing w:after="360"/>
        <w:jc w:val="center"/>
      </w:pPr>
      <w:r>
        <w:rPr>
          <w:rFonts w:ascii="Calibri" w:hAnsi="Calibri"/>
          <w:b w:val="0"/>
          <w:i w:val="0"/>
          <w:color w:val="1F4E79"/>
          <w:sz w:val="30"/>
        </w:rPr>
        <w:t>Consolidated Discovery Brief &amp; Follow-Up Submission Guide</w:t>
      </w:r>
    </w:p>
    <w:p>
      <w:pPr>
        <w:spacing w:after="560"/>
        <w:jc w:val="center"/>
      </w:pPr>
      <w:r>
        <w:rPr>
          <w:rFonts w:ascii="Calibri" w:hAnsi="Calibri"/>
          <w:b w:val="0"/>
          <w:i/>
          <w:color w:val="5A636E"/>
          <w:sz w:val="21"/>
        </w:rPr>
        <w:t>Prepared for Jeff and Coach Bouf  |  Working draft—rules require validation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4F6F9"/>
          </w:tcPr>
          <w:p>
            <w:pPr>
              <w:spacing w:after="0"/>
            </w:pPr>
            <w:r>
              <w:rPr>
                <w:rFonts w:ascii="Calibri" w:hAnsi="Calibri"/>
                <w:b/>
                <w:i w:val="0"/>
                <w:color w:val="0B2545"/>
                <w:sz w:val="22"/>
              </w:rPr>
              <w:t xml:space="preserve">Purpose: </w:t>
            </w:r>
            <w:r>
              <w:rPr>
                <w:rFonts w:ascii="Calibri" w:hAnsi="Calibri"/>
                <w:b w:val="0"/>
                <w:i w:val="0"/>
                <w:sz w:val="22"/>
              </w:rPr>
              <w:t>Combine the existing discovery materials into one source of truth, distinguish confirmed project direction from proposed starting points, and make Jeff’s next submission easy to complete.</w:t>
            </w:r>
          </w:p>
        </w:tc>
      </w:tr>
    </w:tbl>
    <w:p>
      <w:pPr>
        <w:spacing w:after="0"/>
      </w:pPr>
    </w:p>
    <w:p>
      <w:pPr>
        <w:pStyle w:val="Heading1"/>
        <w:keepNext/>
      </w:pPr>
      <w:r>
        <w:t>1. Executive Summary</w:t>
      </w:r>
    </w:p>
    <w:p>
      <w:r>
        <w:t>The existing material establishes a strong discovery and design framework, but it does not yet contain enough completed evidence to build autonomous outreach agents safely. The next phase is to collect Jeff’s real examples, observe his live workflow, and convert his judgment into explicit rules.</w:t>
      </w:r>
    </w:p>
    <w:p>
      <w:pPr>
        <w:pStyle w:val="ListBullet"/>
        <w:spacing w:after="80" w:line="288" w:lineRule="auto"/>
        <w:ind w:left="540" w:hanging="271"/>
      </w:pPr>
      <w:r>
        <w:rPr>
          <w:rFonts w:ascii="Calibri" w:hAnsi="Calibri"/>
          <w:b w:val="0"/>
          <w:i w:val="0"/>
          <w:sz w:val="22"/>
        </w:rPr>
        <w:t>HubSpot is intended to remain the CRM and operational source of truth.</w:t>
      </w:r>
    </w:p>
    <w:p>
      <w:pPr>
        <w:pStyle w:val="ListBullet"/>
        <w:spacing w:after="80" w:line="288" w:lineRule="auto"/>
        <w:ind w:left="540" w:hanging="271"/>
      </w:pPr>
      <w:r>
        <w:rPr>
          <w:rFonts w:ascii="Calibri" w:hAnsi="Calibri"/>
          <w:b w:val="0"/>
          <w:i w:val="0"/>
          <w:sz w:val="22"/>
        </w:rPr>
        <w:t>Codex is intended to serve as the AI operating and orchestration layer.</w:t>
      </w:r>
    </w:p>
    <w:p>
      <w:pPr>
        <w:pStyle w:val="ListBullet"/>
        <w:spacing w:after="80" w:line="288" w:lineRule="auto"/>
        <w:ind w:left="540" w:hanging="271"/>
      </w:pPr>
      <w:r>
        <w:rPr>
          <w:rFonts w:ascii="Calibri" w:hAnsi="Calibri"/>
          <w:b w:val="0"/>
          <w:i w:val="0"/>
          <w:sz w:val="22"/>
        </w:rPr>
        <w:t>The system should support research, qualification, messaging, CRM upkeep, meeting preparation, follow-up, and pipeline coaching.</w:t>
      </w:r>
    </w:p>
    <w:p>
      <w:pPr>
        <w:pStyle w:val="ListBullet"/>
        <w:spacing w:after="80" w:line="288" w:lineRule="auto"/>
        <w:ind w:left="540" w:hanging="271"/>
      </w:pPr>
      <w:r>
        <w:rPr>
          <w:rFonts w:ascii="Calibri" w:hAnsi="Calibri"/>
          <w:b w:val="0"/>
          <w:i w:val="0"/>
          <w:sz w:val="22"/>
        </w:rPr>
        <w:t>Human review is required before publishing, sending, changing sensitive CRM data, scheduling, or communicating with existing clients until Jeff explicitly approves a narrower autonomy policy.</w:t>
      </w:r>
    </w:p>
    <w:p>
      <w:pPr>
        <w:pStyle w:val="ListBullet"/>
        <w:spacing w:after="80" w:line="288" w:lineRule="auto"/>
        <w:ind w:left="540" w:hanging="271"/>
      </w:pPr>
      <w:r>
        <w:rPr>
          <w:rFonts w:ascii="Calibri" w:hAnsi="Calibri"/>
          <w:b w:val="0"/>
          <w:i w:val="0"/>
          <w:sz w:val="22"/>
        </w:rPr>
        <w:t>The framework should be reusable for other representatives, while Jeff’s ICP, voice, scoring, and decision rules remain configurable.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4F6F9"/>
          </w:tcPr>
          <w:p>
            <w:pPr>
              <w:spacing w:after="0"/>
            </w:pPr>
            <w:r>
              <w:rPr>
                <w:rFonts w:ascii="Calibri" w:hAnsi="Calibri"/>
                <w:b/>
                <w:i w:val="0"/>
                <w:color w:val="0B2545"/>
                <w:sz w:val="22"/>
              </w:rPr>
              <w:t xml:space="preserve">Current status: </w:t>
            </w:r>
            <w:r>
              <w:rPr>
                <w:rFonts w:ascii="Calibri" w:hAnsi="Calibri"/>
                <w:b w:val="0"/>
                <w:i w:val="0"/>
                <w:sz w:val="22"/>
              </w:rPr>
              <w:t>Discovery framework complete. Jeff-specific sales rules, evidence, examples, system access details, and approval boundaries remain open.</w:t>
            </w:r>
          </w:p>
        </w:tc>
      </w:tr>
    </w:tbl>
    <w:p>
      <w:pPr>
        <w:spacing w:after="0"/>
      </w:pPr>
    </w:p>
    <w:p>
      <w:pPr>
        <w:pStyle w:val="Heading1"/>
        <w:keepNext/>
      </w:pPr>
      <w:r>
        <w:t>2. Source Review and Consolidation</w:t>
      </w:r>
    </w:p>
    <w:tbl>
      <w:tblPr>
        <w:tblStyle w:val="TableGrid"/>
        <w:tblW w:type="dxa" w:w="9360"/>
        <w:tblLayout w:type="fixed"/>
        <w:tblLook w:firstColumn="1" w:firstRow="1" w:lastColumn="0" w:lastRow="0" w:noHBand="0" w:noVBand="1" w:val="04A0"/>
        <w:jc w:val="left"/>
        <w:tblInd w:w="120" w:type="dxa"/>
      </w:tblPr>
      <w:tblGrid>
        <w:gridCol w:w="2400"/>
        <w:gridCol w:w="4560"/>
        <w:gridCol w:w="2400"/>
      </w:tblGrid>
      <w:tr>
        <w:trPr>
          <w:tblHeader/>
        </w:trPr>
        <w:tc>
          <w:tcPr>
            <w:tcW w:type="dxa" w:w="240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Source</w:t>
            </w:r>
          </w:p>
        </w:tc>
        <w:tc>
          <w:tcPr>
            <w:tcW w:type="dxa" w:w="456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What It Contributes</w:t>
            </w:r>
          </w:p>
        </w:tc>
        <w:tc>
          <w:tcPr>
            <w:tcW w:type="dxa" w:w="240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Disposition</w:t>
            </w:r>
          </w:p>
        </w:tc>
      </w:tr>
      <w:tr>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sz w:val="19"/>
              </w:rPr>
              <w:t>Jeff AI Revenue Engine Sales Process Discovery Interview Questionnaire</w:t>
            </w:r>
          </w:p>
        </w:tc>
        <w:tc>
          <w:tcPr>
            <w:tcW w:type="dxa" w:w="4560"/>
            <w:vAlign w:val="center"/>
            <w:tcMar>
              <w:top w:w="100" w:type="dxa"/>
              <w:start w:w="120" w:type="dxa"/>
              <w:bottom w:w="100" w:type="dxa"/>
              <w:end w:w="120" w:type="dxa"/>
            </w:tcMar>
          </w:tcPr>
          <w:p>
            <w:pPr>
              <w:spacing w:before="0" w:after="0" w:line="259" w:lineRule="auto"/>
            </w:pPr>
            <w:r>
              <w:rPr>
                <w:rFonts w:ascii="Calibri" w:hAnsi="Calibri"/>
                <w:b w:val="0"/>
                <w:i w:val="0"/>
                <w:sz w:val="19"/>
              </w:rPr>
              <w:t>Comprehensive 22-section master question bank covering the complete sales lifecycle.</w:t>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sz w:val="19"/>
              </w:rPr>
              <w:t>Retain as the master discovery reference.</w:t>
            </w:r>
          </w:p>
        </w:tc>
      </w:tr>
      <w:tr>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sz w:val="19"/>
              </w:rPr>
              <w:t>Outreach Engine Sales Process Discovery Interview Questionnaire</w:t>
            </w:r>
          </w:p>
        </w:tc>
        <w:tc>
          <w:tcPr>
            <w:tcW w:type="dxa" w:w="4560"/>
            <w:vAlign w:val="center"/>
            <w:tcMar>
              <w:top w:w="100" w:type="dxa"/>
              <w:start w:w="120" w:type="dxa"/>
              <w:bottom w:w="100" w:type="dxa"/>
              <w:end w:w="120" w:type="dxa"/>
            </w:tcMar>
          </w:tcPr>
          <w:p>
            <w:pPr>
              <w:spacing w:before="0" w:after="0" w:line="259" w:lineRule="auto"/>
            </w:pPr>
            <w:r>
              <w:rPr>
                <w:rFonts w:ascii="Calibri" w:hAnsi="Calibri"/>
                <w:b w:val="0"/>
                <w:i w:val="0"/>
                <w:sz w:val="19"/>
              </w:rPr>
              <w:t>Tighter version of the same question bank with revised Outreach Engine naming.</w:t>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sz w:val="19"/>
              </w:rPr>
              <w:t>Absorbed; do not maintain separately unless a short interviewer version is needed.</w:t>
            </w:r>
          </w:p>
        </w:tc>
      </w:tr>
      <w:tr>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sz w:val="19"/>
              </w:rPr>
              <w:t>Outreach Engine Total Llan</w:t>
            </w:r>
          </w:p>
        </w:tc>
        <w:tc>
          <w:tcPr>
            <w:tcW w:type="dxa" w:w="4560"/>
            <w:vAlign w:val="center"/>
            <w:tcMar>
              <w:top w:w="100" w:type="dxa"/>
              <w:start w:w="120" w:type="dxa"/>
              <w:bottom w:w="100" w:type="dxa"/>
              <w:end w:w="120" w:type="dxa"/>
            </w:tcMar>
          </w:tcPr>
          <w:p>
            <w:pPr>
              <w:spacing w:before="0" w:after="0" w:line="259" w:lineRule="auto"/>
            </w:pPr>
            <w:r>
              <w:rPr>
                <w:rFonts w:ascii="Calibri" w:hAnsi="Calibri"/>
                <w:b w:val="0"/>
                <w:i w:val="0"/>
                <w:sz w:val="19"/>
              </w:rPr>
              <w:t>120-minute agenda, proposed funnel, nine-agent model, HubSpot fields, live tests, and assignments.</w:t>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sz w:val="19"/>
              </w:rPr>
              <w:t>Retain as the session/build-plan source; proposals still require validation.</w:t>
            </w:r>
          </w:p>
        </w:tc>
      </w:tr>
      <w:tr>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sz w:val="19"/>
              </w:rPr>
              <w:t>Jeff P Interview 1 audio</w:t>
            </w:r>
          </w:p>
        </w:tc>
        <w:tc>
          <w:tcPr>
            <w:tcW w:type="dxa" w:w="4560"/>
            <w:vAlign w:val="center"/>
            <w:tcMar>
              <w:top w:w="100" w:type="dxa"/>
              <w:start w:w="120" w:type="dxa"/>
              <w:bottom w:w="100" w:type="dxa"/>
              <w:end w:w="120" w:type="dxa"/>
            </w:tcMar>
          </w:tcPr>
          <w:p>
            <w:pPr>
              <w:spacing w:before="0" w:after="0" w:line="259" w:lineRule="auto"/>
            </w:pPr>
            <w:r>
              <w:rPr>
                <w:rFonts w:ascii="Calibri" w:hAnsi="Calibri"/>
                <w:b w:val="0"/>
                <w:i w:val="0"/>
                <w:sz w:val="19"/>
              </w:rPr>
              <w:t>Approximately 60 minutes of primary-source conversation supplied with this project.</w:t>
            </w:r>
          </w:p>
        </w:tc>
        <w:tc>
          <w:tcPr>
            <w:tcW w:type="dxa" w:w="2400"/>
            <w:vAlign w:val="center"/>
            <w:tcMar>
              <w:top w:w="100" w:type="dxa"/>
              <w:start w:w="120" w:type="dxa"/>
              <w:bottom w:w="100" w:type="dxa"/>
              <w:end w:w="120" w:type="dxa"/>
            </w:tcMar>
          </w:tcPr>
          <w:p>
            <w:pPr>
              <w:spacing w:before="0" w:after="0" w:line="259" w:lineRule="auto"/>
            </w:pPr>
            <w:r>
              <w:rPr>
                <w:rFonts w:ascii="Calibri" w:hAnsi="Calibri"/>
                <w:b w:val="0"/>
                <w:i w:val="0"/>
                <w:sz w:val="19"/>
              </w:rPr>
              <w:t>Preserve as evidence; add a verified transcript and extracted decisions before treating statements as final rules.</w:t>
            </w:r>
          </w:p>
        </w:tc>
      </w:tr>
    </w:tbl>
    <w:p>
      <w:pPr>
        <w:spacing w:after="0"/>
      </w:pPr>
    </w:p>
    <w:p>
      <w:pPr>
        <w:pStyle w:val="Heading1"/>
        <w:keepNext/>
      </w:pPr>
      <w:r>
        <w:t>3. Project Mission and Phase 1 Boundary</w:t>
      </w:r>
    </w:p>
    <w:p>
      <w:r>
        <w:t>Mission: Build a practical, approval-gated Outreach Engine that helps Jeff identify better prospects, prepare stronger outreach, follow up consistently, and keep HubSpot current—without replacing Jeff’s judgment or creating compliance and trust risks.</w:t>
      </w:r>
    </w:p>
    <w:p>
      <w:pPr>
        <w:pStyle w:val="Heading2"/>
        <w:keepNext/>
      </w:pPr>
      <w:r>
        <w:t>In Phase 1</w:t>
      </w:r>
    </w:p>
    <w:p>
      <w:pPr>
        <w:pStyle w:val="ListBullet"/>
        <w:spacing w:after="80" w:line="288" w:lineRule="auto"/>
        <w:ind w:left="540" w:hanging="271"/>
      </w:pPr>
      <w:r>
        <w:rPr>
          <w:rFonts w:ascii="Calibri" w:hAnsi="Calibri"/>
          <w:b w:val="0"/>
          <w:i w:val="0"/>
          <w:sz w:val="22"/>
        </w:rPr>
        <w:t>Capture Jeff’s real end-to-end prospecting process and decision logic.</w:t>
      </w:r>
    </w:p>
    <w:p>
      <w:pPr>
        <w:pStyle w:val="ListBullet"/>
        <w:spacing w:after="80" w:line="288" w:lineRule="auto"/>
        <w:ind w:left="540" w:hanging="271"/>
      </w:pPr>
      <w:r>
        <w:rPr>
          <w:rFonts w:ascii="Calibri" w:hAnsi="Calibri"/>
          <w:b w:val="0"/>
          <w:i w:val="0"/>
          <w:sz w:val="22"/>
        </w:rPr>
        <w:t>Define the ICP, qualification rules, opportunity score, decision-maker hierarchy, and research standards.</w:t>
      </w:r>
    </w:p>
    <w:p>
      <w:pPr>
        <w:pStyle w:val="ListBullet"/>
        <w:spacing w:after="80" w:line="288" w:lineRule="auto"/>
        <w:ind w:left="540" w:hanging="271"/>
      </w:pPr>
      <w:r>
        <w:rPr>
          <w:rFonts w:ascii="Calibri" w:hAnsi="Calibri"/>
          <w:b w:val="0"/>
          <w:i w:val="0"/>
          <w:sz w:val="22"/>
        </w:rPr>
        <w:t>Draft outreach and follow-up content for Jeff’s review.</w:t>
      </w:r>
    </w:p>
    <w:p>
      <w:pPr>
        <w:pStyle w:val="ListBullet"/>
        <w:spacing w:after="80" w:line="288" w:lineRule="auto"/>
        <w:ind w:left="540" w:hanging="271"/>
      </w:pPr>
      <w:r>
        <w:rPr>
          <w:rFonts w:ascii="Calibri" w:hAnsi="Calibri"/>
          <w:b w:val="0"/>
          <w:i w:val="0"/>
          <w:sz w:val="22"/>
        </w:rPr>
        <w:t>Define HubSpot data requirements, attribution fields, and approval-gated updates.</w:t>
      </w:r>
    </w:p>
    <w:p>
      <w:pPr>
        <w:pStyle w:val="ListBullet"/>
        <w:spacing w:after="80" w:line="288" w:lineRule="auto"/>
        <w:ind w:left="540" w:hanging="271"/>
      </w:pPr>
      <w:r>
        <w:rPr>
          <w:rFonts w:ascii="Calibri" w:hAnsi="Calibri"/>
          <w:b w:val="0"/>
          <w:i w:val="0"/>
          <w:sz w:val="22"/>
        </w:rPr>
        <w:t>Test the workflow against three to five real prospects.</w:t>
      </w:r>
    </w:p>
    <w:p>
      <w:pPr>
        <w:pStyle w:val="ListBullet"/>
        <w:spacing w:after="80" w:line="288" w:lineRule="auto"/>
        <w:ind w:left="540" w:hanging="271"/>
      </w:pPr>
      <w:r>
        <w:rPr>
          <w:rFonts w:ascii="Calibri" w:hAnsi="Calibri"/>
          <w:b w:val="0"/>
          <w:i w:val="0"/>
          <w:sz w:val="22"/>
        </w:rPr>
        <w:t>Measure time saved, accuracy, message quality, and follow-up consistency.</w:t>
      </w:r>
    </w:p>
    <w:p>
      <w:pPr>
        <w:pStyle w:val="Heading2"/>
        <w:keepNext/>
      </w:pPr>
      <w:r>
        <w:t>Outside Phase 1 Until Approved</w:t>
      </w:r>
    </w:p>
    <w:p>
      <w:pPr>
        <w:pStyle w:val="ListBullet"/>
        <w:spacing w:after="80" w:line="288" w:lineRule="auto"/>
        <w:ind w:left="540" w:hanging="271"/>
      </w:pPr>
      <w:r>
        <w:rPr>
          <w:rFonts w:ascii="Calibri" w:hAnsi="Calibri"/>
          <w:b w:val="0"/>
          <w:i w:val="0"/>
          <w:sz w:val="22"/>
        </w:rPr>
        <w:t>Unreviewed outbound sending or automatic LinkedIn messaging.</w:t>
      </w:r>
    </w:p>
    <w:p>
      <w:pPr>
        <w:pStyle w:val="ListBullet"/>
        <w:spacing w:after="80" w:line="288" w:lineRule="auto"/>
        <w:ind w:left="540" w:hanging="271"/>
      </w:pPr>
      <w:r>
        <w:rPr>
          <w:rFonts w:ascii="Calibri" w:hAnsi="Calibri"/>
          <w:b w:val="0"/>
          <w:i w:val="0"/>
          <w:sz w:val="22"/>
        </w:rPr>
        <w:t>Automatic changes to deal stages, ownership, attribution, or commission qualification.</w:t>
      </w:r>
    </w:p>
    <w:p>
      <w:pPr>
        <w:pStyle w:val="ListBullet"/>
        <w:spacing w:after="80" w:line="288" w:lineRule="auto"/>
        <w:ind w:left="540" w:hanging="271"/>
      </w:pPr>
      <w:r>
        <w:rPr>
          <w:rFonts w:ascii="Calibri" w:hAnsi="Calibri"/>
          <w:b w:val="0"/>
          <w:i w:val="0"/>
          <w:sz w:val="22"/>
        </w:rPr>
        <w:t>Automatic scheduling or communication with existing clients.</w:t>
      </w:r>
    </w:p>
    <w:p>
      <w:pPr>
        <w:pStyle w:val="ListBullet"/>
        <w:spacing w:after="80" w:line="288" w:lineRule="auto"/>
        <w:ind w:left="540" w:hanging="271"/>
      </w:pPr>
      <w:r>
        <w:rPr>
          <w:rFonts w:ascii="Calibri" w:hAnsi="Calibri"/>
          <w:b w:val="0"/>
          <w:i w:val="0"/>
          <w:sz w:val="22"/>
        </w:rPr>
        <w:t>Claims that a prospect is overspending or guaranteed to save money without evidence.</w:t>
      </w:r>
    </w:p>
    <w:p>
      <w:pPr>
        <w:pStyle w:val="ListBullet"/>
        <w:spacing w:after="80" w:line="288" w:lineRule="auto"/>
        <w:ind w:left="540" w:hanging="271"/>
      </w:pPr>
      <w:r>
        <w:rPr>
          <w:rFonts w:ascii="Calibri" w:hAnsi="Calibri"/>
          <w:b w:val="0"/>
          <w:i w:val="0"/>
          <w:sz w:val="22"/>
        </w:rPr>
        <w:t>Complex automation architecture before the manual and AI-assisted workflow is validated.</w:t>
      </w:r>
    </w:p>
    <w:p>
      <w:pPr>
        <w:pStyle w:val="Heading1"/>
        <w:keepNext/>
      </w:pPr>
      <w:r>
        <w:t>4. Proposed End-to-End Workflow</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4F6F9"/>
          </w:tcPr>
          <w:p>
            <w:pPr>
              <w:spacing w:after="0"/>
            </w:pPr>
            <w:r>
              <w:rPr>
                <w:rFonts w:ascii="Calibri" w:hAnsi="Calibri"/>
                <w:b/>
                <w:i w:val="0"/>
                <w:color w:val="0B2545"/>
                <w:sz w:val="22"/>
              </w:rPr>
              <w:t xml:space="preserve">Validation label: </w:t>
            </w:r>
            <w:r>
              <w:rPr>
                <w:rFonts w:ascii="Calibri" w:hAnsi="Calibri"/>
                <w:b w:val="0"/>
                <w:i w:val="0"/>
                <w:sz w:val="22"/>
              </w:rPr>
              <w:t>The sequence below is a proposed operating model derived from the planning documents. Jeff must confirm the actual stages, entry criteria, exit criteria, and HubSpot mapping.</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840"/>
        <w:gridCol w:w="3000"/>
        <w:gridCol w:w="5520"/>
      </w:tblGrid>
      <w:tr>
        <w:trPr>
          <w:tblHeader/>
        </w:trPr>
        <w:tc>
          <w:tcPr>
            <w:tcW w:type="dxa" w:w="84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Stage</w:t>
            </w:r>
          </w:p>
        </w:tc>
        <w:tc>
          <w:tcPr>
            <w:tcW w:type="dxa" w:w="300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Working Stage</w:t>
            </w:r>
          </w:p>
        </w:tc>
        <w:tc>
          <w:tcPr>
            <w:tcW w:type="dxa" w:w="552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Required Output</w:t>
            </w:r>
          </w:p>
        </w:tc>
      </w:tr>
      <w:tr>
        <w:tc>
          <w:tcPr>
            <w:tcW w:type="dxa" w:w="840"/>
            <w:vAlign w:val="center"/>
            <w:tcMar>
              <w:top w:w="100" w:type="dxa"/>
              <w:start w:w="120" w:type="dxa"/>
              <w:bottom w:w="100" w:type="dxa"/>
              <w:end w:w="120" w:type="dxa"/>
            </w:tcMar>
          </w:tcPr>
          <w:p>
            <w:pPr>
              <w:spacing w:before="0" w:after="0" w:line="259" w:lineRule="auto"/>
            </w:pPr>
            <w:r>
              <w:rPr>
                <w:rFonts w:ascii="Calibri" w:hAnsi="Calibri"/>
                <w:b w:val="0"/>
                <w:i w:val="0"/>
                <w:sz w:val="19"/>
              </w:rPr>
              <w:t>1</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sz w:val="19"/>
              </w:rPr>
              <w:t>Prospect identified</w:t>
            </w:r>
          </w:p>
        </w:tc>
        <w:tc>
          <w:tcPr>
            <w:tcW w:type="dxa" w:w="5520"/>
            <w:vAlign w:val="center"/>
            <w:tcMar>
              <w:top w:w="100" w:type="dxa"/>
              <w:start w:w="120" w:type="dxa"/>
              <w:bottom w:w="100" w:type="dxa"/>
              <w:end w:w="120" w:type="dxa"/>
            </w:tcMar>
          </w:tcPr>
          <w:p>
            <w:pPr>
              <w:spacing w:before="0" w:after="0" w:line="259" w:lineRule="auto"/>
            </w:pPr>
            <w:r>
              <w:rPr>
                <w:rFonts w:ascii="Calibri" w:hAnsi="Calibri"/>
                <w:b w:val="0"/>
                <w:i w:val="0"/>
                <w:sz w:val="19"/>
              </w:rPr>
              <w:t>Lead source and ownership recorded</w:t>
            </w:r>
          </w:p>
        </w:tc>
      </w:tr>
      <w:tr>
        <w:tc>
          <w:tcPr>
            <w:tcW w:type="dxa" w:w="840"/>
            <w:vAlign w:val="center"/>
            <w:tcMar>
              <w:top w:w="100" w:type="dxa"/>
              <w:start w:w="120" w:type="dxa"/>
              <w:bottom w:w="100" w:type="dxa"/>
              <w:end w:w="120" w:type="dxa"/>
            </w:tcMar>
          </w:tcPr>
          <w:p>
            <w:pPr>
              <w:spacing w:before="0" w:after="0" w:line="259" w:lineRule="auto"/>
            </w:pPr>
            <w:r>
              <w:rPr>
                <w:rFonts w:ascii="Calibri" w:hAnsi="Calibri"/>
                <w:b w:val="0"/>
                <w:i w:val="0"/>
                <w:sz w:val="19"/>
              </w:rPr>
              <w:t>2</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sz w:val="19"/>
              </w:rPr>
              <w:t>Company qualified</w:t>
            </w:r>
          </w:p>
        </w:tc>
        <w:tc>
          <w:tcPr>
            <w:tcW w:type="dxa" w:w="5520"/>
            <w:vAlign w:val="center"/>
            <w:tcMar>
              <w:top w:w="100" w:type="dxa"/>
              <w:start w:w="120" w:type="dxa"/>
              <w:bottom w:w="100" w:type="dxa"/>
              <w:end w:w="120" w:type="dxa"/>
            </w:tcMar>
          </w:tcPr>
          <w:p>
            <w:pPr>
              <w:spacing w:before="0" w:after="0" w:line="259" w:lineRule="auto"/>
            </w:pPr>
            <w:r>
              <w:rPr>
                <w:rFonts w:ascii="Calibri" w:hAnsi="Calibri"/>
                <w:b w:val="0"/>
                <w:i w:val="0"/>
                <w:sz w:val="19"/>
              </w:rPr>
              <w:t>ICP rules and disqualifiers applied</w:t>
            </w:r>
          </w:p>
        </w:tc>
      </w:tr>
      <w:tr>
        <w:tc>
          <w:tcPr>
            <w:tcW w:type="dxa" w:w="840"/>
            <w:vAlign w:val="center"/>
            <w:tcMar>
              <w:top w:w="100" w:type="dxa"/>
              <w:start w:w="120" w:type="dxa"/>
              <w:bottom w:w="100" w:type="dxa"/>
              <w:end w:w="120" w:type="dxa"/>
            </w:tcMar>
          </w:tcPr>
          <w:p>
            <w:pPr>
              <w:spacing w:before="0" w:after="0" w:line="259" w:lineRule="auto"/>
            </w:pPr>
            <w:r>
              <w:rPr>
                <w:rFonts w:ascii="Calibri" w:hAnsi="Calibri"/>
                <w:b w:val="0"/>
                <w:i w:val="0"/>
                <w:sz w:val="19"/>
              </w:rPr>
              <w:t>3</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sz w:val="19"/>
              </w:rPr>
              <w:t>Decision maker identified</w:t>
            </w:r>
          </w:p>
        </w:tc>
        <w:tc>
          <w:tcPr>
            <w:tcW w:type="dxa" w:w="5520"/>
            <w:vAlign w:val="center"/>
            <w:tcMar>
              <w:top w:w="100" w:type="dxa"/>
              <w:start w:w="120" w:type="dxa"/>
              <w:bottom w:w="100" w:type="dxa"/>
              <w:end w:w="120" w:type="dxa"/>
            </w:tcMar>
          </w:tcPr>
          <w:p>
            <w:pPr>
              <w:spacing w:before="0" w:after="0" w:line="259" w:lineRule="auto"/>
            </w:pPr>
            <w:r>
              <w:rPr>
                <w:rFonts w:ascii="Calibri" w:hAnsi="Calibri"/>
                <w:b w:val="0"/>
                <w:i w:val="0"/>
                <w:sz w:val="19"/>
              </w:rPr>
              <w:t>Primary and backup contacts validated</w:t>
            </w:r>
          </w:p>
        </w:tc>
      </w:tr>
      <w:tr>
        <w:tc>
          <w:tcPr>
            <w:tcW w:type="dxa" w:w="840"/>
            <w:vAlign w:val="center"/>
            <w:tcMar>
              <w:top w:w="100" w:type="dxa"/>
              <w:start w:w="120" w:type="dxa"/>
              <w:bottom w:w="100" w:type="dxa"/>
              <w:end w:w="120" w:type="dxa"/>
            </w:tcMar>
          </w:tcPr>
          <w:p>
            <w:pPr>
              <w:spacing w:before="0" w:after="0" w:line="259" w:lineRule="auto"/>
            </w:pPr>
            <w:r>
              <w:rPr>
                <w:rFonts w:ascii="Calibri" w:hAnsi="Calibri"/>
                <w:b w:val="0"/>
                <w:i w:val="0"/>
                <w:sz w:val="19"/>
              </w:rPr>
              <w:t>4</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sz w:val="19"/>
              </w:rPr>
              <w:t>Research completed</w:t>
            </w:r>
          </w:p>
        </w:tc>
        <w:tc>
          <w:tcPr>
            <w:tcW w:type="dxa" w:w="5520"/>
            <w:vAlign w:val="center"/>
            <w:tcMar>
              <w:top w:w="100" w:type="dxa"/>
              <w:start w:w="120" w:type="dxa"/>
              <w:bottom w:w="100" w:type="dxa"/>
              <w:end w:w="120" w:type="dxa"/>
            </w:tcMar>
          </w:tcPr>
          <w:p>
            <w:pPr>
              <w:spacing w:before="0" w:after="0" w:line="259" w:lineRule="auto"/>
            </w:pPr>
            <w:r>
              <w:rPr>
                <w:rFonts w:ascii="Calibri" w:hAnsi="Calibri"/>
                <w:b w:val="0"/>
                <w:i w:val="0"/>
                <w:sz w:val="19"/>
              </w:rPr>
              <w:t>Evidence, confidence, and gaps documented</w:t>
            </w:r>
          </w:p>
        </w:tc>
      </w:tr>
      <w:tr>
        <w:tc>
          <w:tcPr>
            <w:tcW w:type="dxa" w:w="840"/>
            <w:vAlign w:val="center"/>
            <w:tcMar>
              <w:top w:w="100" w:type="dxa"/>
              <w:start w:w="120" w:type="dxa"/>
              <w:bottom w:w="100" w:type="dxa"/>
              <w:end w:w="120" w:type="dxa"/>
            </w:tcMar>
          </w:tcPr>
          <w:p>
            <w:pPr>
              <w:spacing w:before="0" w:after="0" w:line="259" w:lineRule="auto"/>
            </w:pPr>
            <w:r>
              <w:rPr>
                <w:rFonts w:ascii="Calibri" w:hAnsi="Calibri"/>
                <w:b w:val="0"/>
                <w:i w:val="0"/>
                <w:sz w:val="19"/>
              </w:rPr>
              <w:t>5</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sz w:val="19"/>
              </w:rPr>
              <w:t>Outreach prepared</w:t>
            </w:r>
          </w:p>
        </w:tc>
        <w:tc>
          <w:tcPr>
            <w:tcW w:type="dxa" w:w="5520"/>
            <w:vAlign w:val="center"/>
            <w:tcMar>
              <w:top w:w="100" w:type="dxa"/>
              <w:start w:w="120" w:type="dxa"/>
              <w:bottom w:w="100" w:type="dxa"/>
              <w:end w:w="120" w:type="dxa"/>
            </w:tcMar>
          </w:tcPr>
          <w:p>
            <w:pPr>
              <w:spacing w:before="0" w:after="0" w:line="259" w:lineRule="auto"/>
            </w:pPr>
            <w:r>
              <w:rPr>
                <w:rFonts w:ascii="Calibri" w:hAnsi="Calibri"/>
                <w:b w:val="0"/>
                <w:i w:val="0"/>
                <w:sz w:val="19"/>
              </w:rPr>
              <w:t>Channel, message, CTA, and follow-up plan drafted</w:t>
            </w:r>
          </w:p>
        </w:tc>
      </w:tr>
      <w:tr>
        <w:tc>
          <w:tcPr>
            <w:tcW w:type="dxa" w:w="840"/>
            <w:vAlign w:val="center"/>
            <w:tcMar>
              <w:top w:w="100" w:type="dxa"/>
              <w:start w:w="120" w:type="dxa"/>
              <w:bottom w:w="100" w:type="dxa"/>
              <w:end w:w="120" w:type="dxa"/>
            </w:tcMar>
          </w:tcPr>
          <w:p>
            <w:pPr>
              <w:spacing w:before="0" w:after="0" w:line="259" w:lineRule="auto"/>
            </w:pPr>
            <w:r>
              <w:rPr>
                <w:rFonts w:ascii="Calibri" w:hAnsi="Calibri"/>
                <w:b w:val="0"/>
                <w:i w:val="0"/>
                <w:sz w:val="19"/>
              </w:rPr>
              <w:t>6</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sz w:val="19"/>
              </w:rPr>
              <w:t>Human approval</w:t>
            </w:r>
          </w:p>
        </w:tc>
        <w:tc>
          <w:tcPr>
            <w:tcW w:type="dxa" w:w="5520"/>
            <w:vAlign w:val="center"/>
            <w:tcMar>
              <w:top w:w="100" w:type="dxa"/>
              <w:start w:w="120" w:type="dxa"/>
              <w:bottom w:w="100" w:type="dxa"/>
              <w:end w:w="120" w:type="dxa"/>
            </w:tcMar>
          </w:tcPr>
          <w:p>
            <w:pPr>
              <w:spacing w:before="0" w:after="0" w:line="259" w:lineRule="auto"/>
            </w:pPr>
            <w:r>
              <w:rPr>
                <w:rFonts w:ascii="Calibri" w:hAnsi="Calibri"/>
                <w:b w:val="0"/>
                <w:i w:val="0"/>
                <w:sz w:val="19"/>
              </w:rPr>
              <w:t>Jeff reviews before any external communication</w:t>
            </w:r>
          </w:p>
        </w:tc>
      </w:tr>
      <w:tr>
        <w:tc>
          <w:tcPr>
            <w:tcW w:type="dxa" w:w="840"/>
            <w:vAlign w:val="center"/>
            <w:tcMar>
              <w:top w:w="100" w:type="dxa"/>
              <w:start w:w="120" w:type="dxa"/>
              <w:bottom w:w="100" w:type="dxa"/>
              <w:end w:w="120" w:type="dxa"/>
            </w:tcMar>
          </w:tcPr>
          <w:p>
            <w:pPr>
              <w:spacing w:before="0" w:after="0" w:line="259" w:lineRule="auto"/>
            </w:pPr>
            <w:r>
              <w:rPr>
                <w:rFonts w:ascii="Calibri" w:hAnsi="Calibri"/>
                <w:b w:val="0"/>
                <w:i w:val="0"/>
                <w:sz w:val="19"/>
              </w:rPr>
              <w:t>7</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sz w:val="19"/>
              </w:rPr>
              <w:t>Outreach sent and logged</w:t>
            </w:r>
          </w:p>
        </w:tc>
        <w:tc>
          <w:tcPr>
            <w:tcW w:type="dxa" w:w="5520"/>
            <w:vAlign w:val="center"/>
            <w:tcMar>
              <w:top w:w="100" w:type="dxa"/>
              <w:start w:w="120" w:type="dxa"/>
              <w:bottom w:w="100" w:type="dxa"/>
              <w:end w:w="120" w:type="dxa"/>
            </w:tcMar>
          </w:tcPr>
          <w:p>
            <w:pPr>
              <w:spacing w:before="0" w:after="0" w:line="259" w:lineRule="auto"/>
            </w:pPr>
            <w:r>
              <w:rPr>
                <w:rFonts w:ascii="Calibri" w:hAnsi="Calibri"/>
                <w:b w:val="0"/>
                <w:i w:val="0"/>
                <w:sz w:val="19"/>
              </w:rPr>
              <w:t>Activity, date, source, and next step captured</w:t>
            </w:r>
          </w:p>
        </w:tc>
      </w:tr>
      <w:tr>
        <w:tc>
          <w:tcPr>
            <w:tcW w:type="dxa" w:w="840"/>
            <w:vAlign w:val="center"/>
            <w:tcMar>
              <w:top w:w="100" w:type="dxa"/>
              <w:start w:w="120" w:type="dxa"/>
              <w:bottom w:w="100" w:type="dxa"/>
              <w:end w:w="120" w:type="dxa"/>
            </w:tcMar>
          </w:tcPr>
          <w:p>
            <w:pPr>
              <w:spacing w:before="0" w:after="0" w:line="259" w:lineRule="auto"/>
            </w:pPr>
            <w:r>
              <w:rPr>
                <w:rFonts w:ascii="Calibri" w:hAnsi="Calibri"/>
                <w:b w:val="0"/>
                <w:i w:val="0"/>
                <w:sz w:val="19"/>
              </w:rPr>
              <w:t>8</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sz w:val="19"/>
              </w:rPr>
              <w:t>Response classified</w:t>
            </w:r>
          </w:p>
        </w:tc>
        <w:tc>
          <w:tcPr>
            <w:tcW w:type="dxa" w:w="5520"/>
            <w:vAlign w:val="center"/>
            <w:tcMar>
              <w:top w:w="100" w:type="dxa"/>
              <w:start w:w="120" w:type="dxa"/>
              <w:bottom w:w="100" w:type="dxa"/>
              <w:end w:w="120" w:type="dxa"/>
            </w:tcMar>
          </w:tcPr>
          <w:p>
            <w:pPr>
              <w:spacing w:before="0" w:after="0" w:line="259" w:lineRule="auto"/>
            </w:pPr>
            <w:r>
              <w:rPr>
                <w:rFonts w:ascii="Calibri" w:hAnsi="Calibri"/>
                <w:b w:val="0"/>
                <w:i w:val="0"/>
                <w:sz w:val="19"/>
              </w:rPr>
              <w:t>Affirmative, objection, timing, referral, or stop</w:t>
            </w:r>
          </w:p>
        </w:tc>
      </w:tr>
      <w:tr>
        <w:tc>
          <w:tcPr>
            <w:tcW w:type="dxa" w:w="840"/>
            <w:vAlign w:val="center"/>
            <w:tcMar>
              <w:top w:w="100" w:type="dxa"/>
              <w:start w:w="120" w:type="dxa"/>
              <w:bottom w:w="100" w:type="dxa"/>
              <w:end w:w="120" w:type="dxa"/>
            </w:tcMar>
          </w:tcPr>
          <w:p>
            <w:pPr>
              <w:spacing w:before="0" w:after="0" w:line="259" w:lineRule="auto"/>
            </w:pPr>
            <w:r>
              <w:rPr>
                <w:rFonts w:ascii="Calibri" w:hAnsi="Calibri"/>
                <w:b w:val="0"/>
                <w:i w:val="0"/>
                <w:sz w:val="19"/>
              </w:rPr>
              <w:t>9</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sz w:val="19"/>
              </w:rPr>
              <w:t>Conversation / assessment</w:t>
            </w:r>
          </w:p>
        </w:tc>
        <w:tc>
          <w:tcPr>
            <w:tcW w:type="dxa" w:w="5520"/>
            <w:vAlign w:val="center"/>
            <w:tcMar>
              <w:top w:w="100" w:type="dxa"/>
              <w:start w:w="120" w:type="dxa"/>
              <w:bottom w:w="100" w:type="dxa"/>
              <w:end w:w="120" w:type="dxa"/>
            </w:tcMar>
          </w:tcPr>
          <w:p>
            <w:pPr>
              <w:spacing w:before="0" w:after="0" w:line="259" w:lineRule="auto"/>
            </w:pPr>
            <w:r>
              <w:rPr>
                <w:rFonts w:ascii="Calibri" w:hAnsi="Calibri"/>
                <w:b w:val="0"/>
                <w:i w:val="0"/>
                <w:sz w:val="19"/>
              </w:rPr>
              <w:t>Briefing, notes, actions, and follow-up drafted</w:t>
            </w:r>
          </w:p>
        </w:tc>
      </w:tr>
      <w:tr>
        <w:tc>
          <w:tcPr>
            <w:tcW w:type="dxa" w:w="840"/>
            <w:vAlign w:val="center"/>
            <w:tcMar>
              <w:top w:w="100" w:type="dxa"/>
              <w:start w:w="120" w:type="dxa"/>
              <w:bottom w:w="100" w:type="dxa"/>
              <w:end w:w="120" w:type="dxa"/>
            </w:tcMar>
          </w:tcPr>
          <w:p>
            <w:pPr>
              <w:spacing w:before="0" w:after="0" w:line="259" w:lineRule="auto"/>
            </w:pPr>
            <w:r>
              <w:rPr>
                <w:rFonts w:ascii="Calibri" w:hAnsi="Calibri"/>
                <w:b w:val="0"/>
                <w:i w:val="0"/>
                <w:sz w:val="19"/>
              </w:rPr>
              <w:t>10</w:t>
            </w:r>
          </w:p>
        </w:tc>
        <w:tc>
          <w:tcPr>
            <w:tcW w:type="dxa" w:w="3000"/>
            <w:vAlign w:val="center"/>
            <w:tcMar>
              <w:top w:w="100" w:type="dxa"/>
              <w:start w:w="120" w:type="dxa"/>
              <w:bottom w:w="100" w:type="dxa"/>
              <w:end w:w="120" w:type="dxa"/>
            </w:tcMar>
          </w:tcPr>
          <w:p>
            <w:pPr>
              <w:spacing w:before="0" w:after="0" w:line="259" w:lineRule="auto"/>
            </w:pPr>
            <w:r>
              <w:rPr>
                <w:rFonts w:ascii="Calibri" w:hAnsi="Calibri"/>
                <w:b w:val="0"/>
                <w:i w:val="0"/>
                <w:sz w:val="19"/>
              </w:rPr>
              <w:t>Opportunity through client</w:t>
            </w:r>
          </w:p>
        </w:tc>
        <w:tc>
          <w:tcPr>
            <w:tcW w:type="dxa" w:w="5520"/>
            <w:vAlign w:val="center"/>
            <w:tcMar>
              <w:top w:w="100" w:type="dxa"/>
              <w:start w:w="120" w:type="dxa"/>
              <w:bottom w:w="100" w:type="dxa"/>
              <w:end w:w="120" w:type="dxa"/>
            </w:tcMar>
          </w:tcPr>
          <w:p>
            <w:pPr>
              <w:spacing w:before="0" w:after="0" w:line="259" w:lineRule="auto"/>
            </w:pPr>
            <w:r>
              <w:rPr>
                <w:rFonts w:ascii="Calibri" w:hAnsi="Calibri"/>
                <w:b w:val="0"/>
                <w:i w:val="0"/>
                <w:sz w:val="19"/>
              </w:rPr>
              <w:t>Pipeline, attribution, outcome, and commission evidence maintained</w:t>
            </w:r>
          </w:p>
        </w:tc>
      </w:tr>
    </w:tbl>
    <w:p>
      <w:pPr>
        <w:spacing w:after="0"/>
      </w:pPr>
    </w:p>
    <w:p>
      <w:pPr>
        <w:pStyle w:val="Heading1"/>
        <w:keepNext/>
      </w:pPr>
      <w:r>
        <w:t>5. Proposed Nine-Agent Operating Model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4F6F9"/>
          </w:tcPr>
          <w:p>
            <w:pPr>
              <w:spacing w:after="0"/>
            </w:pPr>
            <w:r>
              <w:rPr>
                <w:rFonts w:ascii="Calibri" w:hAnsi="Calibri"/>
                <w:b/>
                <w:i w:val="0"/>
                <w:color w:val="0B2545"/>
                <w:sz w:val="22"/>
              </w:rPr>
              <w:t xml:space="preserve">Design principle: </w:t>
            </w:r>
            <w:r>
              <w:rPr>
                <w:rFonts w:ascii="Calibri" w:hAnsi="Calibri"/>
                <w:b w:val="0"/>
                <w:i w:val="0"/>
                <w:sz w:val="22"/>
              </w:rPr>
              <w:t>Treat these as modular roles first. Do not build nine separate complex automations until the shared workflow, data contract, and approval rules are validated.</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420"/>
        <w:gridCol w:w="1720"/>
        <w:gridCol w:w="3740"/>
        <w:gridCol w:w="3480"/>
      </w:tblGrid>
      <w:tr>
        <w:trPr>
          <w:tblHeader/>
        </w:trPr>
        <w:tc>
          <w:tcPr>
            <w:tcW w:type="dxa" w:w="42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w:t>
            </w:r>
          </w:p>
        </w:tc>
        <w:tc>
          <w:tcPr>
            <w:tcW w:type="dxa" w:w="172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Role</w:t>
            </w:r>
          </w:p>
        </w:tc>
        <w:tc>
          <w:tcPr>
            <w:tcW w:type="dxa" w:w="374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Core Output</w:t>
            </w:r>
          </w:p>
        </w:tc>
        <w:tc>
          <w:tcPr>
            <w:tcW w:type="dxa" w:w="348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Human Checkpoint</w:t>
            </w:r>
          </w:p>
        </w:tc>
      </w:tr>
      <w:tr>
        <w:tc>
          <w:tcPr>
            <w:tcW w:type="dxa" w:w="420"/>
            <w:vAlign w:val="center"/>
            <w:tcMar>
              <w:top w:w="100" w:type="dxa"/>
              <w:start w:w="120" w:type="dxa"/>
              <w:bottom w:w="100" w:type="dxa"/>
              <w:end w:w="120" w:type="dxa"/>
            </w:tcMar>
          </w:tcPr>
          <w:p>
            <w:pPr>
              <w:spacing w:before="0" w:after="0" w:line="259" w:lineRule="auto"/>
            </w:pPr>
            <w:r>
              <w:rPr>
                <w:rFonts w:ascii="Calibri" w:hAnsi="Calibri"/>
                <w:b w:val="0"/>
                <w:i w:val="0"/>
                <w:sz w:val="19"/>
              </w:rPr>
              <w:t>1</w:t>
            </w:r>
          </w:p>
        </w:tc>
        <w:tc>
          <w:tcPr>
            <w:tcW w:type="dxa" w:w="1720"/>
            <w:vAlign w:val="center"/>
            <w:tcMar>
              <w:top w:w="100" w:type="dxa"/>
              <w:start w:w="120" w:type="dxa"/>
              <w:bottom w:w="100" w:type="dxa"/>
              <w:end w:w="120" w:type="dxa"/>
            </w:tcMar>
          </w:tcPr>
          <w:p>
            <w:pPr>
              <w:spacing w:before="0" w:after="0" w:line="259" w:lineRule="auto"/>
            </w:pPr>
            <w:r>
              <w:rPr>
                <w:rFonts w:ascii="Calibri" w:hAnsi="Calibri"/>
                <w:b w:val="0"/>
                <w:i w:val="0"/>
                <w:sz w:val="19"/>
              </w:rPr>
              <w:t>Prospect Research</w:t>
            </w:r>
          </w:p>
        </w:tc>
        <w:tc>
          <w:tcPr>
            <w:tcW w:type="dxa" w:w="3740"/>
            <w:vAlign w:val="center"/>
            <w:tcMar>
              <w:top w:w="100" w:type="dxa"/>
              <w:start w:w="120" w:type="dxa"/>
              <w:bottom w:w="100" w:type="dxa"/>
              <w:end w:w="120" w:type="dxa"/>
            </w:tcMar>
          </w:tcPr>
          <w:p>
            <w:pPr>
              <w:spacing w:before="0" w:after="0" w:line="259" w:lineRule="auto"/>
            </w:pPr>
            <w:r>
              <w:rPr>
                <w:rFonts w:ascii="Calibri" w:hAnsi="Calibri"/>
                <w:b w:val="0"/>
                <w:i w:val="0"/>
                <w:sz w:val="19"/>
              </w:rPr>
              <w:t>Company fit, evidence, disqualifiers, source links</w:t>
            </w:r>
          </w:p>
        </w:tc>
        <w:tc>
          <w:tcPr>
            <w:tcW w:type="dxa" w:w="3480"/>
            <w:vAlign w:val="center"/>
            <w:tcMar>
              <w:top w:w="100" w:type="dxa"/>
              <w:start w:w="120" w:type="dxa"/>
              <w:bottom w:w="100" w:type="dxa"/>
              <w:end w:w="120" w:type="dxa"/>
            </w:tcMar>
          </w:tcPr>
          <w:p>
            <w:pPr>
              <w:spacing w:before="0" w:after="0" w:line="259" w:lineRule="auto"/>
            </w:pPr>
            <w:r>
              <w:rPr>
                <w:rFonts w:ascii="Calibri" w:hAnsi="Calibri"/>
                <w:b w:val="0"/>
                <w:i w:val="0"/>
                <w:sz w:val="19"/>
              </w:rPr>
              <w:t>Jeff validates rules and exceptions</w:t>
            </w:r>
          </w:p>
        </w:tc>
      </w:tr>
      <w:tr>
        <w:tc>
          <w:tcPr>
            <w:tcW w:type="dxa" w:w="420"/>
            <w:vAlign w:val="center"/>
            <w:tcMar>
              <w:top w:w="100" w:type="dxa"/>
              <w:start w:w="120" w:type="dxa"/>
              <w:bottom w:w="100" w:type="dxa"/>
              <w:end w:w="120" w:type="dxa"/>
            </w:tcMar>
          </w:tcPr>
          <w:p>
            <w:pPr>
              <w:spacing w:before="0" w:after="0" w:line="259" w:lineRule="auto"/>
            </w:pPr>
            <w:r>
              <w:rPr>
                <w:rFonts w:ascii="Calibri" w:hAnsi="Calibri"/>
                <w:b w:val="0"/>
                <w:i w:val="0"/>
                <w:sz w:val="19"/>
              </w:rPr>
              <w:t>2</w:t>
            </w:r>
          </w:p>
        </w:tc>
        <w:tc>
          <w:tcPr>
            <w:tcW w:type="dxa" w:w="1720"/>
            <w:vAlign w:val="center"/>
            <w:tcMar>
              <w:top w:w="100" w:type="dxa"/>
              <w:start w:w="120" w:type="dxa"/>
              <w:bottom w:w="100" w:type="dxa"/>
              <w:end w:w="120" w:type="dxa"/>
            </w:tcMar>
          </w:tcPr>
          <w:p>
            <w:pPr>
              <w:spacing w:before="0" w:after="0" w:line="259" w:lineRule="auto"/>
            </w:pPr>
            <w:r>
              <w:rPr>
                <w:rFonts w:ascii="Calibri" w:hAnsi="Calibri"/>
                <w:b w:val="0"/>
                <w:i w:val="0"/>
                <w:sz w:val="19"/>
              </w:rPr>
              <w:t>Decision Maker</w:t>
            </w:r>
          </w:p>
        </w:tc>
        <w:tc>
          <w:tcPr>
            <w:tcW w:type="dxa" w:w="3740"/>
            <w:vAlign w:val="center"/>
            <w:tcMar>
              <w:top w:w="100" w:type="dxa"/>
              <w:start w:w="120" w:type="dxa"/>
              <w:bottom w:w="100" w:type="dxa"/>
              <w:end w:w="120" w:type="dxa"/>
            </w:tcMar>
          </w:tcPr>
          <w:p>
            <w:pPr>
              <w:spacing w:before="0" w:after="0" w:line="259" w:lineRule="auto"/>
            </w:pPr>
            <w:r>
              <w:rPr>
                <w:rFonts w:ascii="Calibri" w:hAnsi="Calibri"/>
                <w:b w:val="0"/>
                <w:i w:val="0"/>
                <w:sz w:val="19"/>
              </w:rPr>
              <w:t>Primary/secondary contacts and confidence</w:t>
            </w:r>
          </w:p>
        </w:tc>
        <w:tc>
          <w:tcPr>
            <w:tcW w:type="dxa" w:w="3480"/>
            <w:vAlign w:val="center"/>
            <w:tcMar>
              <w:top w:w="100" w:type="dxa"/>
              <w:start w:w="120" w:type="dxa"/>
              <w:bottom w:w="100" w:type="dxa"/>
              <w:end w:w="120" w:type="dxa"/>
            </w:tcMar>
          </w:tcPr>
          <w:p>
            <w:pPr>
              <w:spacing w:before="0" w:after="0" w:line="259" w:lineRule="auto"/>
            </w:pPr>
            <w:r>
              <w:rPr>
                <w:rFonts w:ascii="Calibri" w:hAnsi="Calibri"/>
                <w:b w:val="0"/>
                <w:i w:val="0"/>
                <w:sz w:val="19"/>
              </w:rPr>
              <w:t>Jeff resolves ambiguous titles or employment</w:t>
            </w:r>
          </w:p>
        </w:tc>
      </w:tr>
      <w:tr>
        <w:tc>
          <w:tcPr>
            <w:tcW w:type="dxa" w:w="420"/>
            <w:vAlign w:val="center"/>
            <w:tcMar>
              <w:top w:w="100" w:type="dxa"/>
              <w:start w:w="120" w:type="dxa"/>
              <w:bottom w:w="100" w:type="dxa"/>
              <w:end w:w="120" w:type="dxa"/>
            </w:tcMar>
          </w:tcPr>
          <w:p>
            <w:pPr>
              <w:spacing w:before="0" w:after="0" w:line="259" w:lineRule="auto"/>
            </w:pPr>
            <w:r>
              <w:rPr>
                <w:rFonts w:ascii="Calibri" w:hAnsi="Calibri"/>
                <w:b w:val="0"/>
                <w:i w:val="0"/>
                <w:sz w:val="19"/>
              </w:rPr>
              <w:t>3</w:t>
            </w:r>
          </w:p>
        </w:tc>
        <w:tc>
          <w:tcPr>
            <w:tcW w:type="dxa" w:w="1720"/>
            <w:vAlign w:val="center"/>
            <w:tcMar>
              <w:top w:w="100" w:type="dxa"/>
              <w:start w:w="120" w:type="dxa"/>
              <w:bottom w:w="100" w:type="dxa"/>
              <w:end w:w="120" w:type="dxa"/>
            </w:tcMar>
          </w:tcPr>
          <w:p>
            <w:pPr>
              <w:spacing w:before="0" w:after="0" w:line="259" w:lineRule="auto"/>
            </w:pPr>
            <w:r>
              <w:rPr>
                <w:rFonts w:ascii="Calibri" w:hAnsi="Calibri"/>
                <w:b w:val="0"/>
                <w:i w:val="0"/>
                <w:sz w:val="19"/>
              </w:rPr>
              <w:t>Relationship Mapping</w:t>
            </w:r>
          </w:p>
        </w:tc>
        <w:tc>
          <w:tcPr>
            <w:tcW w:type="dxa" w:w="3740"/>
            <w:vAlign w:val="center"/>
            <w:tcMar>
              <w:top w:w="100" w:type="dxa"/>
              <w:start w:w="120" w:type="dxa"/>
              <w:bottom w:w="100" w:type="dxa"/>
              <w:end w:w="120" w:type="dxa"/>
            </w:tcMar>
          </w:tcPr>
          <w:p>
            <w:pPr>
              <w:spacing w:before="0" w:after="0" w:line="259" w:lineRule="auto"/>
            </w:pPr>
            <w:r>
              <w:rPr>
                <w:rFonts w:ascii="Calibri" w:hAnsi="Calibri"/>
                <w:b w:val="0"/>
                <w:i w:val="0"/>
                <w:sz w:val="19"/>
              </w:rPr>
              <w:t>Warm paths and appropriate connection angles</w:t>
            </w:r>
          </w:p>
        </w:tc>
        <w:tc>
          <w:tcPr>
            <w:tcW w:type="dxa" w:w="3480"/>
            <w:vAlign w:val="center"/>
            <w:tcMar>
              <w:top w:w="100" w:type="dxa"/>
              <w:start w:w="120" w:type="dxa"/>
              <w:bottom w:w="100" w:type="dxa"/>
              <w:end w:w="120" w:type="dxa"/>
            </w:tcMar>
          </w:tcPr>
          <w:p>
            <w:pPr>
              <w:spacing w:before="0" w:after="0" w:line="259" w:lineRule="auto"/>
            </w:pPr>
            <w:r>
              <w:rPr>
                <w:rFonts w:ascii="Calibri" w:hAnsi="Calibri"/>
                <w:b w:val="0"/>
                <w:i w:val="0"/>
                <w:sz w:val="19"/>
              </w:rPr>
              <w:t>Jeff approves introduction requests</w:t>
            </w:r>
          </w:p>
        </w:tc>
      </w:tr>
      <w:tr>
        <w:tc>
          <w:tcPr>
            <w:tcW w:type="dxa" w:w="420"/>
            <w:vAlign w:val="center"/>
            <w:tcMar>
              <w:top w:w="100" w:type="dxa"/>
              <w:start w:w="120" w:type="dxa"/>
              <w:bottom w:w="100" w:type="dxa"/>
              <w:end w:w="120" w:type="dxa"/>
            </w:tcMar>
          </w:tcPr>
          <w:p>
            <w:pPr>
              <w:spacing w:before="0" w:after="0" w:line="259" w:lineRule="auto"/>
            </w:pPr>
            <w:r>
              <w:rPr>
                <w:rFonts w:ascii="Calibri" w:hAnsi="Calibri"/>
                <w:b w:val="0"/>
                <w:i w:val="0"/>
                <w:sz w:val="19"/>
              </w:rPr>
              <w:t>4</w:t>
            </w:r>
          </w:p>
        </w:tc>
        <w:tc>
          <w:tcPr>
            <w:tcW w:type="dxa" w:w="1720"/>
            <w:vAlign w:val="center"/>
            <w:tcMar>
              <w:top w:w="100" w:type="dxa"/>
              <w:start w:w="120" w:type="dxa"/>
              <w:bottom w:w="100" w:type="dxa"/>
              <w:end w:w="120" w:type="dxa"/>
            </w:tcMar>
          </w:tcPr>
          <w:p>
            <w:pPr>
              <w:spacing w:before="0" w:after="0" w:line="259" w:lineRule="auto"/>
            </w:pPr>
            <w:r>
              <w:rPr>
                <w:rFonts w:ascii="Calibri" w:hAnsi="Calibri"/>
                <w:b w:val="0"/>
                <w:i w:val="0"/>
                <w:sz w:val="19"/>
              </w:rPr>
              <w:t>Company Intelligence</w:t>
            </w:r>
          </w:p>
        </w:tc>
        <w:tc>
          <w:tcPr>
            <w:tcW w:type="dxa" w:w="3740"/>
            <w:vAlign w:val="center"/>
            <w:tcMar>
              <w:top w:w="100" w:type="dxa"/>
              <w:start w:w="120" w:type="dxa"/>
              <w:bottom w:w="100" w:type="dxa"/>
              <w:end w:w="120" w:type="dxa"/>
            </w:tcMar>
          </w:tcPr>
          <w:p>
            <w:pPr>
              <w:spacing w:before="0" w:after="0" w:line="259" w:lineRule="auto"/>
            </w:pPr>
            <w:r>
              <w:rPr>
                <w:rFonts w:ascii="Calibri" w:hAnsi="Calibri"/>
                <w:b w:val="0"/>
                <w:i w:val="0"/>
                <w:sz w:val="19"/>
              </w:rPr>
              <w:t>Concise account brief and possible spend categories</w:t>
            </w:r>
          </w:p>
        </w:tc>
        <w:tc>
          <w:tcPr>
            <w:tcW w:type="dxa" w:w="3480"/>
            <w:vAlign w:val="center"/>
            <w:tcMar>
              <w:top w:w="100" w:type="dxa"/>
              <w:start w:w="120" w:type="dxa"/>
              <w:bottom w:w="100" w:type="dxa"/>
              <w:end w:w="120" w:type="dxa"/>
            </w:tcMar>
          </w:tcPr>
          <w:p>
            <w:pPr>
              <w:spacing w:before="0" w:after="0" w:line="259" w:lineRule="auto"/>
            </w:pPr>
            <w:r>
              <w:rPr>
                <w:rFonts w:ascii="Calibri" w:hAnsi="Calibri"/>
                <w:b w:val="0"/>
                <w:i w:val="0"/>
                <w:sz w:val="19"/>
              </w:rPr>
              <w:t>No unsupported overspending claims</w:t>
            </w:r>
          </w:p>
        </w:tc>
      </w:tr>
      <w:tr>
        <w:tc>
          <w:tcPr>
            <w:tcW w:type="dxa" w:w="420"/>
            <w:vAlign w:val="center"/>
            <w:tcMar>
              <w:top w:w="100" w:type="dxa"/>
              <w:start w:w="120" w:type="dxa"/>
              <w:bottom w:w="100" w:type="dxa"/>
              <w:end w:w="120" w:type="dxa"/>
            </w:tcMar>
          </w:tcPr>
          <w:p>
            <w:pPr>
              <w:spacing w:before="0" w:after="0" w:line="259" w:lineRule="auto"/>
            </w:pPr>
            <w:r>
              <w:rPr>
                <w:rFonts w:ascii="Calibri" w:hAnsi="Calibri"/>
                <w:b w:val="0"/>
                <w:i w:val="0"/>
                <w:sz w:val="19"/>
              </w:rPr>
              <w:t>5</w:t>
            </w:r>
          </w:p>
        </w:tc>
        <w:tc>
          <w:tcPr>
            <w:tcW w:type="dxa" w:w="1720"/>
            <w:vAlign w:val="center"/>
            <w:tcMar>
              <w:top w:w="100" w:type="dxa"/>
              <w:start w:w="120" w:type="dxa"/>
              <w:bottom w:w="100" w:type="dxa"/>
              <w:end w:w="120" w:type="dxa"/>
            </w:tcMar>
          </w:tcPr>
          <w:p>
            <w:pPr>
              <w:spacing w:before="0" w:after="0" w:line="259" w:lineRule="auto"/>
            </w:pPr>
            <w:r>
              <w:rPr>
                <w:rFonts w:ascii="Calibri" w:hAnsi="Calibri"/>
                <w:b w:val="0"/>
                <w:i w:val="0"/>
                <w:sz w:val="19"/>
              </w:rPr>
              <w:t>Outreach</w:t>
            </w:r>
          </w:p>
        </w:tc>
        <w:tc>
          <w:tcPr>
            <w:tcW w:type="dxa" w:w="3740"/>
            <w:vAlign w:val="center"/>
            <w:tcMar>
              <w:top w:w="100" w:type="dxa"/>
              <w:start w:w="120" w:type="dxa"/>
              <w:bottom w:w="100" w:type="dxa"/>
              <w:end w:w="120" w:type="dxa"/>
            </w:tcMar>
          </w:tcPr>
          <w:p>
            <w:pPr>
              <w:spacing w:before="0" w:after="0" w:line="259" w:lineRule="auto"/>
            </w:pPr>
            <w:r>
              <w:rPr>
                <w:rFonts w:ascii="Calibri" w:hAnsi="Calibri"/>
                <w:b w:val="0"/>
                <w:i w:val="0"/>
                <w:sz w:val="19"/>
              </w:rPr>
              <w:t>Email, LinkedIn, call, voicemail, and follow-up drafts</w:t>
            </w:r>
          </w:p>
        </w:tc>
        <w:tc>
          <w:tcPr>
            <w:tcW w:type="dxa" w:w="3480"/>
            <w:vAlign w:val="center"/>
            <w:tcMar>
              <w:top w:w="100" w:type="dxa"/>
              <w:start w:w="120" w:type="dxa"/>
              <w:bottom w:w="100" w:type="dxa"/>
              <w:end w:w="120" w:type="dxa"/>
            </w:tcMar>
          </w:tcPr>
          <w:p>
            <w:pPr>
              <w:spacing w:before="0" w:after="0" w:line="259" w:lineRule="auto"/>
            </w:pPr>
            <w:r>
              <w:rPr>
                <w:rFonts w:ascii="Calibri" w:hAnsi="Calibri"/>
                <w:b w:val="0"/>
                <w:i w:val="0"/>
                <w:sz w:val="19"/>
              </w:rPr>
              <w:t>Jeff approves every send in Phase 1</w:t>
            </w:r>
          </w:p>
        </w:tc>
      </w:tr>
      <w:tr>
        <w:tc>
          <w:tcPr>
            <w:tcW w:type="dxa" w:w="420"/>
            <w:vAlign w:val="center"/>
            <w:tcMar>
              <w:top w:w="100" w:type="dxa"/>
              <w:start w:w="120" w:type="dxa"/>
              <w:bottom w:w="100" w:type="dxa"/>
              <w:end w:w="120" w:type="dxa"/>
            </w:tcMar>
          </w:tcPr>
          <w:p>
            <w:pPr>
              <w:spacing w:before="0" w:after="0" w:line="259" w:lineRule="auto"/>
            </w:pPr>
            <w:r>
              <w:rPr>
                <w:rFonts w:ascii="Calibri" w:hAnsi="Calibri"/>
                <w:b w:val="0"/>
                <w:i w:val="0"/>
                <w:sz w:val="19"/>
              </w:rPr>
              <w:t>6</w:t>
            </w:r>
          </w:p>
        </w:tc>
        <w:tc>
          <w:tcPr>
            <w:tcW w:type="dxa" w:w="1720"/>
            <w:vAlign w:val="center"/>
            <w:tcMar>
              <w:top w:w="100" w:type="dxa"/>
              <w:start w:w="120" w:type="dxa"/>
              <w:bottom w:w="100" w:type="dxa"/>
              <w:end w:w="120" w:type="dxa"/>
            </w:tcMar>
          </w:tcPr>
          <w:p>
            <w:pPr>
              <w:spacing w:before="0" w:after="0" w:line="259" w:lineRule="auto"/>
            </w:pPr>
            <w:r>
              <w:rPr>
                <w:rFonts w:ascii="Calibri" w:hAnsi="Calibri"/>
                <w:b w:val="0"/>
                <w:i w:val="0"/>
                <w:sz w:val="19"/>
              </w:rPr>
              <w:t>CRM Management</w:t>
            </w:r>
          </w:p>
        </w:tc>
        <w:tc>
          <w:tcPr>
            <w:tcW w:type="dxa" w:w="3740"/>
            <w:vAlign w:val="center"/>
            <w:tcMar>
              <w:top w:w="100" w:type="dxa"/>
              <w:start w:w="120" w:type="dxa"/>
              <w:bottom w:w="100" w:type="dxa"/>
              <w:end w:w="120" w:type="dxa"/>
            </w:tcMar>
          </w:tcPr>
          <w:p>
            <w:pPr>
              <w:spacing w:before="0" w:after="0" w:line="259" w:lineRule="auto"/>
            </w:pPr>
            <w:r>
              <w:rPr>
                <w:rFonts w:ascii="Calibri" w:hAnsi="Calibri"/>
                <w:b w:val="0"/>
                <w:i w:val="0"/>
                <w:sz w:val="19"/>
              </w:rPr>
              <w:t>Prepared records, notes, tasks, and attribution updates</w:t>
            </w:r>
          </w:p>
        </w:tc>
        <w:tc>
          <w:tcPr>
            <w:tcW w:type="dxa" w:w="3480"/>
            <w:vAlign w:val="center"/>
            <w:tcMar>
              <w:top w:w="100" w:type="dxa"/>
              <w:start w:w="120" w:type="dxa"/>
              <w:bottom w:w="100" w:type="dxa"/>
              <w:end w:w="120" w:type="dxa"/>
            </w:tcMar>
          </w:tcPr>
          <w:p>
            <w:pPr>
              <w:spacing w:before="0" w:after="0" w:line="259" w:lineRule="auto"/>
            </w:pPr>
            <w:r>
              <w:rPr>
                <w:rFonts w:ascii="Calibri" w:hAnsi="Calibri"/>
                <w:b w:val="0"/>
                <w:i w:val="0"/>
                <w:sz w:val="19"/>
              </w:rPr>
              <w:t>Sensitive writes require approval</w:t>
            </w:r>
          </w:p>
        </w:tc>
      </w:tr>
      <w:tr>
        <w:tc>
          <w:tcPr>
            <w:tcW w:type="dxa" w:w="420"/>
            <w:vAlign w:val="center"/>
            <w:tcMar>
              <w:top w:w="100" w:type="dxa"/>
              <w:start w:w="120" w:type="dxa"/>
              <w:bottom w:w="100" w:type="dxa"/>
              <w:end w:w="120" w:type="dxa"/>
            </w:tcMar>
          </w:tcPr>
          <w:p>
            <w:pPr>
              <w:spacing w:before="0" w:after="0" w:line="259" w:lineRule="auto"/>
            </w:pPr>
            <w:r>
              <w:rPr>
                <w:rFonts w:ascii="Calibri" w:hAnsi="Calibri"/>
                <w:b w:val="0"/>
                <w:i w:val="0"/>
                <w:sz w:val="19"/>
              </w:rPr>
              <w:t>7</w:t>
            </w:r>
          </w:p>
        </w:tc>
        <w:tc>
          <w:tcPr>
            <w:tcW w:type="dxa" w:w="1720"/>
            <w:vAlign w:val="center"/>
            <w:tcMar>
              <w:top w:w="100" w:type="dxa"/>
              <w:start w:w="120" w:type="dxa"/>
              <w:bottom w:w="100" w:type="dxa"/>
              <w:end w:w="120" w:type="dxa"/>
            </w:tcMar>
          </w:tcPr>
          <w:p>
            <w:pPr>
              <w:spacing w:before="0" w:after="0" w:line="259" w:lineRule="auto"/>
            </w:pPr>
            <w:r>
              <w:rPr>
                <w:rFonts w:ascii="Calibri" w:hAnsi="Calibri"/>
                <w:b w:val="0"/>
                <w:i w:val="0"/>
                <w:sz w:val="19"/>
              </w:rPr>
              <w:t>Meeting Preparation</w:t>
            </w:r>
          </w:p>
        </w:tc>
        <w:tc>
          <w:tcPr>
            <w:tcW w:type="dxa" w:w="3740"/>
            <w:vAlign w:val="center"/>
            <w:tcMar>
              <w:top w:w="100" w:type="dxa"/>
              <w:start w:w="120" w:type="dxa"/>
              <w:bottom w:w="100" w:type="dxa"/>
              <w:end w:w="120" w:type="dxa"/>
            </w:tcMar>
          </w:tcPr>
          <w:p>
            <w:pPr>
              <w:spacing w:before="0" w:after="0" w:line="259" w:lineRule="auto"/>
            </w:pPr>
            <w:r>
              <w:rPr>
                <w:rFonts w:ascii="Calibri" w:hAnsi="Calibri"/>
                <w:b w:val="0"/>
                <w:i w:val="0"/>
                <w:sz w:val="19"/>
              </w:rPr>
              <w:t>Account briefing, questions, objections, talking points</w:t>
            </w:r>
          </w:p>
        </w:tc>
        <w:tc>
          <w:tcPr>
            <w:tcW w:type="dxa" w:w="3480"/>
            <w:vAlign w:val="center"/>
            <w:tcMar>
              <w:top w:w="100" w:type="dxa"/>
              <w:start w:w="120" w:type="dxa"/>
              <w:bottom w:w="100" w:type="dxa"/>
              <w:end w:w="120" w:type="dxa"/>
            </w:tcMar>
          </w:tcPr>
          <w:p>
            <w:pPr>
              <w:spacing w:before="0" w:after="0" w:line="259" w:lineRule="auto"/>
            </w:pPr>
            <w:r>
              <w:rPr>
                <w:rFonts w:ascii="Calibri" w:hAnsi="Calibri"/>
                <w:b w:val="0"/>
                <w:i w:val="0"/>
                <w:sz w:val="19"/>
              </w:rPr>
              <w:t>Jeff selects final agenda</w:t>
            </w:r>
          </w:p>
        </w:tc>
      </w:tr>
      <w:tr>
        <w:tc>
          <w:tcPr>
            <w:tcW w:type="dxa" w:w="420"/>
            <w:vAlign w:val="center"/>
            <w:tcMar>
              <w:top w:w="100" w:type="dxa"/>
              <w:start w:w="120" w:type="dxa"/>
              <w:bottom w:w="100" w:type="dxa"/>
              <w:end w:w="120" w:type="dxa"/>
            </w:tcMar>
          </w:tcPr>
          <w:p>
            <w:pPr>
              <w:spacing w:before="0" w:after="0" w:line="259" w:lineRule="auto"/>
            </w:pPr>
            <w:r>
              <w:rPr>
                <w:rFonts w:ascii="Calibri" w:hAnsi="Calibri"/>
                <w:b w:val="0"/>
                <w:i w:val="0"/>
                <w:sz w:val="19"/>
              </w:rPr>
              <w:t>8</w:t>
            </w:r>
          </w:p>
        </w:tc>
        <w:tc>
          <w:tcPr>
            <w:tcW w:type="dxa" w:w="1720"/>
            <w:vAlign w:val="center"/>
            <w:tcMar>
              <w:top w:w="100" w:type="dxa"/>
              <w:start w:w="120" w:type="dxa"/>
              <w:bottom w:w="100" w:type="dxa"/>
              <w:end w:w="120" w:type="dxa"/>
            </w:tcMar>
          </w:tcPr>
          <w:p>
            <w:pPr>
              <w:spacing w:before="0" w:after="0" w:line="259" w:lineRule="auto"/>
            </w:pPr>
            <w:r>
              <w:rPr>
                <w:rFonts w:ascii="Calibri" w:hAnsi="Calibri"/>
                <w:b w:val="0"/>
                <w:i w:val="0"/>
                <w:sz w:val="19"/>
              </w:rPr>
              <w:t>Post-Meeting</w:t>
            </w:r>
          </w:p>
        </w:tc>
        <w:tc>
          <w:tcPr>
            <w:tcW w:type="dxa" w:w="3740"/>
            <w:vAlign w:val="center"/>
            <w:tcMar>
              <w:top w:w="100" w:type="dxa"/>
              <w:start w:w="120" w:type="dxa"/>
              <w:bottom w:w="100" w:type="dxa"/>
              <w:end w:w="120" w:type="dxa"/>
            </w:tcMar>
          </w:tcPr>
          <w:p>
            <w:pPr>
              <w:spacing w:before="0" w:after="0" w:line="259" w:lineRule="auto"/>
            </w:pPr>
            <w:r>
              <w:rPr>
                <w:rFonts w:ascii="Calibri" w:hAnsi="Calibri"/>
                <w:b w:val="0"/>
                <w:i w:val="0"/>
                <w:sz w:val="19"/>
              </w:rPr>
              <w:t>Summary, follow-up draft, tasks, next agenda</w:t>
            </w:r>
          </w:p>
        </w:tc>
        <w:tc>
          <w:tcPr>
            <w:tcW w:type="dxa" w:w="3480"/>
            <w:vAlign w:val="center"/>
            <w:tcMar>
              <w:top w:w="100" w:type="dxa"/>
              <w:start w:w="120" w:type="dxa"/>
              <w:bottom w:w="100" w:type="dxa"/>
              <w:end w:w="120" w:type="dxa"/>
            </w:tcMar>
          </w:tcPr>
          <w:p>
            <w:pPr>
              <w:spacing w:before="0" w:after="0" w:line="259" w:lineRule="auto"/>
            </w:pPr>
            <w:r>
              <w:rPr>
                <w:rFonts w:ascii="Calibri" w:hAnsi="Calibri"/>
                <w:b w:val="0"/>
                <w:i w:val="0"/>
                <w:sz w:val="19"/>
              </w:rPr>
              <w:t>Jeff verifies notes and approves follow-up</w:t>
            </w:r>
          </w:p>
        </w:tc>
      </w:tr>
      <w:tr>
        <w:tc>
          <w:tcPr>
            <w:tcW w:type="dxa" w:w="420"/>
            <w:vAlign w:val="center"/>
            <w:tcMar>
              <w:top w:w="100" w:type="dxa"/>
              <w:start w:w="120" w:type="dxa"/>
              <w:bottom w:w="100" w:type="dxa"/>
              <w:end w:w="120" w:type="dxa"/>
            </w:tcMar>
          </w:tcPr>
          <w:p>
            <w:pPr>
              <w:spacing w:before="0" w:after="0" w:line="259" w:lineRule="auto"/>
            </w:pPr>
            <w:r>
              <w:rPr>
                <w:rFonts w:ascii="Calibri" w:hAnsi="Calibri"/>
                <w:b w:val="0"/>
                <w:i w:val="0"/>
                <w:sz w:val="19"/>
              </w:rPr>
              <w:t>9</w:t>
            </w:r>
          </w:p>
        </w:tc>
        <w:tc>
          <w:tcPr>
            <w:tcW w:type="dxa" w:w="1720"/>
            <w:vAlign w:val="center"/>
            <w:tcMar>
              <w:top w:w="100" w:type="dxa"/>
              <w:start w:w="120" w:type="dxa"/>
              <w:bottom w:w="100" w:type="dxa"/>
              <w:end w:w="120" w:type="dxa"/>
            </w:tcMar>
          </w:tcPr>
          <w:p>
            <w:pPr>
              <w:spacing w:before="0" w:after="0" w:line="259" w:lineRule="auto"/>
            </w:pPr>
            <w:r>
              <w:rPr>
                <w:rFonts w:ascii="Calibri" w:hAnsi="Calibri"/>
                <w:b w:val="0"/>
                <w:i w:val="0"/>
                <w:sz w:val="19"/>
              </w:rPr>
              <w:t>Pipeline Coach</w:t>
            </w:r>
          </w:p>
        </w:tc>
        <w:tc>
          <w:tcPr>
            <w:tcW w:type="dxa" w:w="3740"/>
            <w:vAlign w:val="center"/>
            <w:tcMar>
              <w:top w:w="100" w:type="dxa"/>
              <w:start w:w="120" w:type="dxa"/>
              <w:bottom w:w="100" w:type="dxa"/>
              <w:end w:w="120" w:type="dxa"/>
            </w:tcMar>
          </w:tcPr>
          <w:p>
            <w:pPr>
              <w:spacing w:before="0" w:after="0" w:line="259" w:lineRule="auto"/>
            </w:pPr>
            <w:r>
              <w:rPr>
                <w:rFonts w:ascii="Calibri" w:hAnsi="Calibri"/>
                <w:b w:val="0"/>
                <w:i w:val="0"/>
                <w:sz w:val="19"/>
              </w:rPr>
              <w:t>Daily priorities, stalled deals, next actions, weekly review</w:t>
            </w:r>
          </w:p>
        </w:tc>
        <w:tc>
          <w:tcPr>
            <w:tcW w:type="dxa" w:w="3480"/>
            <w:vAlign w:val="center"/>
            <w:tcMar>
              <w:top w:w="100" w:type="dxa"/>
              <w:start w:w="120" w:type="dxa"/>
              <w:bottom w:w="100" w:type="dxa"/>
              <w:end w:w="120" w:type="dxa"/>
            </w:tcMar>
          </w:tcPr>
          <w:p>
            <w:pPr>
              <w:spacing w:before="0" w:after="0" w:line="259" w:lineRule="auto"/>
            </w:pPr>
            <w:r>
              <w:rPr>
                <w:rFonts w:ascii="Calibri" w:hAnsi="Calibri"/>
                <w:b w:val="0"/>
                <w:i w:val="0"/>
                <w:sz w:val="19"/>
              </w:rPr>
              <w:t>Jeff owns prioritization and disposition</w:t>
            </w:r>
          </w:p>
        </w:tc>
      </w:tr>
    </w:tbl>
    <w:p>
      <w:pPr>
        <w:spacing w:after="0"/>
      </w:pPr>
    </w:p>
    <w:p>
      <w:pPr>
        <w:pStyle w:val="Heading1"/>
        <w:keepNext/>
      </w:pPr>
      <w:r>
        <w:t>6. Proposed Scoring and Prioritization Model</w:t>
      </w:r>
    </w:p>
    <w:p>
      <w:r>
        <w:t>Use this only as a discussion starter. Jeff must define the factors, weights, thresholds, and examples before the score drives any action.</w:t>
      </w:r>
    </w:p>
    <w:tbl>
      <w:tblPr>
        <w:tblStyle w:val="TableGrid"/>
        <w:tblW w:type="dxa" w:w="9360"/>
        <w:tblLayout w:type="fixed"/>
        <w:tblLook w:firstColumn="1" w:firstRow="1" w:lastColumn="0" w:lastRow="0" w:noHBand="0" w:noVBand="1" w:val="04A0"/>
        <w:jc w:val="left"/>
        <w:tblInd w:w="120" w:type="dxa"/>
      </w:tblPr>
      <w:tblGrid>
        <w:gridCol w:w="2460"/>
        <w:gridCol w:w="1260"/>
        <w:gridCol w:w="5640"/>
      </w:tblGrid>
      <w:tr>
        <w:trPr>
          <w:tblHeader/>
        </w:trPr>
        <w:tc>
          <w:tcPr>
            <w:tcW w:type="dxa" w:w="246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Factor</w:t>
            </w:r>
          </w:p>
        </w:tc>
        <w:tc>
          <w:tcPr>
            <w:tcW w:type="dxa" w:w="126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Draft Points</w:t>
            </w:r>
          </w:p>
        </w:tc>
        <w:tc>
          <w:tcPr>
            <w:tcW w:type="dxa" w:w="564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Evidence to Define</w:t>
            </w:r>
          </w:p>
        </w:tc>
      </w:tr>
      <w:tr>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sz w:val="19"/>
              </w:rPr>
              <w:t>Company fit</w:t>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sz w:val="19"/>
              </w:rPr>
              <w:t>25</w:t>
            </w:r>
          </w:p>
        </w:tc>
        <w:tc>
          <w:tcPr>
            <w:tcW w:type="dxa" w:w="5640"/>
            <w:vAlign w:val="center"/>
            <w:tcMar>
              <w:top w:w="100" w:type="dxa"/>
              <w:start w:w="120" w:type="dxa"/>
              <w:bottom w:w="100" w:type="dxa"/>
              <w:end w:w="120" w:type="dxa"/>
            </w:tcMar>
          </w:tcPr>
          <w:p>
            <w:pPr>
              <w:spacing w:before="0" w:after="0" w:line="259" w:lineRule="auto"/>
            </w:pPr>
            <w:r>
              <w:rPr>
                <w:rFonts w:ascii="Calibri" w:hAnsi="Calibri"/>
                <w:b w:val="0"/>
                <w:i w:val="0"/>
                <w:sz w:val="19"/>
              </w:rPr>
              <w:t>Industry, geography, ownership, locations, operating model</w:t>
            </w:r>
          </w:p>
        </w:tc>
      </w:tr>
      <w:tr>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sz w:val="19"/>
              </w:rPr>
              <w:t>Company size</w:t>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sz w:val="19"/>
              </w:rPr>
              <w:t>20</w:t>
            </w:r>
          </w:p>
        </w:tc>
        <w:tc>
          <w:tcPr>
            <w:tcW w:type="dxa" w:w="5640"/>
            <w:vAlign w:val="center"/>
            <w:tcMar>
              <w:top w:w="100" w:type="dxa"/>
              <w:start w:w="120" w:type="dxa"/>
              <w:bottom w:w="100" w:type="dxa"/>
              <w:end w:w="120" w:type="dxa"/>
            </w:tcMar>
          </w:tcPr>
          <w:p>
            <w:pPr>
              <w:spacing w:before="0" w:after="0" w:line="259" w:lineRule="auto"/>
            </w:pPr>
            <w:r>
              <w:rPr>
                <w:rFonts w:ascii="Calibri" w:hAnsi="Calibri"/>
                <w:b w:val="0"/>
                <w:i w:val="0"/>
                <w:sz w:val="19"/>
              </w:rPr>
              <w:t>Revenue, employees, footprint, estimated addressable spend</w:t>
            </w:r>
          </w:p>
        </w:tc>
      </w:tr>
      <w:tr>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sz w:val="19"/>
              </w:rPr>
              <w:t>Potential cost opportunity</w:t>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sz w:val="19"/>
              </w:rPr>
              <w:t>20</w:t>
            </w:r>
          </w:p>
        </w:tc>
        <w:tc>
          <w:tcPr>
            <w:tcW w:type="dxa" w:w="5640"/>
            <w:vAlign w:val="center"/>
            <w:tcMar>
              <w:top w:w="100" w:type="dxa"/>
              <w:start w:w="120" w:type="dxa"/>
              <w:bottom w:w="100" w:type="dxa"/>
              <w:end w:w="120" w:type="dxa"/>
            </w:tcMar>
          </w:tcPr>
          <w:p>
            <w:pPr>
              <w:spacing w:before="0" w:after="0" w:line="259" w:lineRule="auto"/>
            </w:pPr>
            <w:r>
              <w:rPr>
                <w:rFonts w:ascii="Calibri" w:hAnsi="Calibri"/>
                <w:b w:val="0"/>
                <w:i w:val="0"/>
                <w:sz w:val="19"/>
              </w:rPr>
              <w:t>Relevant expense categories and observable business signals</w:t>
            </w:r>
          </w:p>
        </w:tc>
      </w:tr>
      <w:tr>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sz w:val="19"/>
              </w:rPr>
              <w:t>Decision-maker access</w:t>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sz w:val="19"/>
              </w:rPr>
              <w:t>15</w:t>
            </w:r>
          </w:p>
        </w:tc>
        <w:tc>
          <w:tcPr>
            <w:tcW w:type="dxa" w:w="5640"/>
            <w:vAlign w:val="center"/>
            <w:tcMar>
              <w:top w:w="100" w:type="dxa"/>
              <w:start w:w="120" w:type="dxa"/>
              <w:bottom w:w="100" w:type="dxa"/>
              <w:end w:w="120" w:type="dxa"/>
            </w:tcMar>
          </w:tcPr>
          <w:p>
            <w:pPr>
              <w:spacing w:before="0" w:after="0" w:line="259" w:lineRule="auto"/>
            </w:pPr>
            <w:r>
              <w:rPr>
                <w:rFonts w:ascii="Calibri" w:hAnsi="Calibri"/>
                <w:b w:val="0"/>
                <w:i w:val="0"/>
                <w:sz w:val="19"/>
              </w:rPr>
              <w:t>Contact confidence, reachable finance/operations leader</w:t>
            </w:r>
          </w:p>
        </w:tc>
      </w:tr>
      <w:tr>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sz w:val="19"/>
              </w:rPr>
              <w:t>Relationship strength</w:t>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sz w:val="19"/>
              </w:rPr>
              <w:t>10</w:t>
            </w:r>
          </w:p>
        </w:tc>
        <w:tc>
          <w:tcPr>
            <w:tcW w:type="dxa" w:w="5640"/>
            <w:vAlign w:val="center"/>
            <w:tcMar>
              <w:top w:w="100" w:type="dxa"/>
              <w:start w:w="120" w:type="dxa"/>
              <w:bottom w:w="100" w:type="dxa"/>
              <w:end w:w="120" w:type="dxa"/>
            </w:tcMar>
          </w:tcPr>
          <w:p>
            <w:pPr>
              <w:spacing w:before="0" w:after="0" w:line="259" w:lineRule="auto"/>
            </w:pPr>
            <w:r>
              <w:rPr>
                <w:rFonts w:ascii="Calibri" w:hAnsi="Calibri"/>
                <w:b w:val="0"/>
                <w:i w:val="0"/>
                <w:sz w:val="19"/>
              </w:rPr>
              <w:t>Direct relationship, warm introduction, credible mutual connection</w:t>
            </w:r>
          </w:p>
        </w:tc>
      </w:tr>
      <w:tr>
        <w:tc>
          <w:tcPr>
            <w:tcW w:type="dxa" w:w="2460"/>
            <w:vAlign w:val="center"/>
            <w:tcMar>
              <w:top w:w="100" w:type="dxa"/>
              <w:start w:w="120" w:type="dxa"/>
              <w:bottom w:w="100" w:type="dxa"/>
              <w:end w:w="120" w:type="dxa"/>
            </w:tcMar>
          </w:tcPr>
          <w:p>
            <w:pPr>
              <w:spacing w:before="0" w:after="0" w:line="259" w:lineRule="auto"/>
            </w:pPr>
            <w:r>
              <w:rPr>
                <w:rFonts w:ascii="Calibri" w:hAnsi="Calibri"/>
                <w:b w:val="0"/>
                <w:i w:val="0"/>
                <w:sz w:val="19"/>
              </w:rPr>
              <w:t>Current business signal</w:t>
            </w:r>
          </w:p>
        </w:tc>
        <w:tc>
          <w:tcPr>
            <w:tcW w:type="dxa" w:w="1260"/>
            <w:vAlign w:val="center"/>
            <w:tcMar>
              <w:top w:w="100" w:type="dxa"/>
              <w:start w:w="120" w:type="dxa"/>
              <w:bottom w:w="100" w:type="dxa"/>
              <w:end w:w="120" w:type="dxa"/>
            </w:tcMar>
          </w:tcPr>
          <w:p>
            <w:pPr>
              <w:spacing w:before="0" w:after="0" w:line="259" w:lineRule="auto"/>
            </w:pPr>
            <w:r>
              <w:rPr>
                <w:rFonts w:ascii="Calibri" w:hAnsi="Calibri"/>
                <w:b w:val="0"/>
                <w:i w:val="0"/>
                <w:sz w:val="19"/>
              </w:rPr>
              <w:t>10</w:t>
            </w:r>
          </w:p>
        </w:tc>
        <w:tc>
          <w:tcPr>
            <w:tcW w:type="dxa" w:w="5640"/>
            <w:vAlign w:val="center"/>
            <w:tcMar>
              <w:top w:w="100" w:type="dxa"/>
              <w:start w:w="120" w:type="dxa"/>
              <w:bottom w:w="100" w:type="dxa"/>
              <w:end w:w="120" w:type="dxa"/>
            </w:tcMar>
          </w:tcPr>
          <w:p>
            <w:pPr>
              <w:spacing w:before="0" w:after="0" w:line="259" w:lineRule="auto"/>
            </w:pPr>
            <w:r>
              <w:rPr>
                <w:rFonts w:ascii="Calibri" w:hAnsi="Calibri"/>
                <w:b w:val="0"/>
                <w:i w:val="0"/>
                <w:sz w:val="19"/>
              </w:rPr>
              <w:t>Expansion, acquisition, leadership change, hiring, or other relevant trigger</w:t>
            </w:r>
          </w:p>
        </w:tc>
      </w:tr>
    </w:tbl>
    <w:p>
      <w:pPr>
        <w:spacing w:after="0"/>
      </w:pPr>
    </w:p>
    <w:p>
      <w:pPr>
        <w:pStyle w:val="ListBullet"/>
        <w:spacing w:after="80" w:line="288" w:lineRule="auto"/>
        <w:ind w:left="540" w:hanging="271"/>
      </w:pPr>
      <w:r>
        <w:rPr>
          <w:rFonts w:ascii="Calibri" w:hAnsi="Calibri"/>
          <w:b w:val="0"/>
          <w:i w:val="0"/>
          <w:sz w:val="22"/>
        </w:rPr>
        <w:t>Proposed pursue threshold: Jeff to define.</w:t>
      </w:r>
    </w:p>
    <w:p>
      <w:pPr>
        <w:pStyle w:val="ListBullet"/>
        <w:spacing w:after="80" w:line="288" w:lineRule="auto"/>
        <w:ind w:left="540" w:hanging="271"/>
      </w:pPr>
      <w:r>
        <w:rPr>
          <w:rFonts w:ascii="Calibri" w:hAnsi="Calibri"/>
          <w:b w:val="0"/>
          <w:i w:val="0"/>
          <w:sz w:val="22"/>
        </w:rPr>
        <w:t>Automatic disqualifiers: Jeff to define.</w:t>
      </w:r>
    </w:p>
    <w:p>
      <w:pPr>
        <w:pStyle w:val="ListBullet"/>
        <w:spacing w:after="80" w:line="288" w:lineRule="auto"/>
        <w:ind w:left="540" w:hanging="271"/>
      </w:pPr>
      <w:r>
        <w:rPr>
          <w:rFonts w:ascii="Calibri" w:hAnsi="Calibri"/>
          <w:b w:val="0"/>
          <w:i w:val="0"/>
          <w:sz w:val="22"/>
        </w:rPr>
        <w:t>Low-confidence rule: route to Jeff rather than infer missing facts.</w:t>
      </w:r>
    </w:p>
    <w:p>
      <w:pPr>
        <w:pStyle w:val="Heading1"/>
        <w:keepNext/>
      </w:pPr>
      <w:r>
        <w:t>7. Non-Negotiable Guardrails</w:t>
      </w:r>
    </w:p>
    <w:p>
      <w:pPr>
        <w:pStyle w:val="ListBullet"/>
        <w:spacing w:after="80" w:line="288" w:lineRule="auto"/>
        <w:ind w:left="540" w:hanging="271"/>
      </w:pPr>
      <w:r>
        <w:rPr>
          <w:rFonts w:ascii="Calibri" w:hAnsi="Calibri"/>
          <w:b w:val="0"/>
          <w:i w:val="0"/>
          <w:sz w:val="22"/>
        </w:rPr>
        <w:t>Never claim or imply that a company is overspending without verified evidence.</w:t>
      </w:r>
    </w:p>
    <w:p>
      <w:pPr>
        <w:pStyle w:val="ListBullet"/>
        <w:spacing w:after="80" w:line="288" w:lineRule="auto"/>
        <w:ind w:left="540" w:hanging="271"/>
      </w:pPr>
      <w:r>
        <w:rPr>
          <w:rFonts w:ascii="Calibri" w:hAnsi="Calibri"/>
          <w:b w:val="0"/>
          <w:i w:val="0"/>
          <w:sz w:val="22"/>
        </w:rPr>
        <w:t>Never reveal intent-data sources or other sensitive research methods in outreach.</w:t>
      </w:r>
    </w:p>
    <w:p>
      <w:pPr>
        <w:pStyle w:val="ListBullet"/>
        <w:spacing w:after="80" w:line="288" w:lineRule="auto"/>
        <w:ind w:left="540" w:hanging="271"/>
      </w:pPr>
      <w:r>
        <w:rPr>
          <w:rFonts w:ascii="Calibri" w:hAnsi="Calibri"/>
          <w:b w:val="0"/>
          <w:i w:val="0"/>
          <w:sz w:val="22"/>
        </w:rPr>
        <w:t>Never fabricate a business problem, mutual relationship, testimonial, result, or personal detail.</w:t>
      </w:r>
    </w:p>
    <w:p>
      <w:pPr>
        <w:pStyle w:val="ListBullet"/>
        <w:spacing w:after="80" w:line="288" w:lineRule="auto"/>
        <w:ind w:left="540" w:hanging="271"/>
      </w:pPr>
      <w:r>
        <w:rPr>
          <w:rFonts w:ascii="Calibri" w:hAnsi="Calibri"/>
          <w:b w:val="0"/>
          <w:i w:val="0"/>
          <w:sz w:val="22"/>
        </w:rPr>
        <w:t>Never use personal information that would feel invasive, irrelevant, or inappropriate.</w:t>
      </w:r>
    </w:p>
    <w:p>
      <w:pPr>
        <w:pStyle w:val="ListBullet"/>
        <w:spacing w:after="80" w:line="288" w:lineRule="auto"/>
        <w:ind w:left="540" w:hanging="271"/>
      </w:pPr>
      <w:r>
        <w:rPr>
          <w:rFonts w:ascii="Calibri" w:hAnsi="Calibri"/>
          <w:b w:val="0"/>
          <w:i w:val="0"/>
          <w:sz w:val="22"/>
        </w:rPr>
        <w:t>Never send, schedule, publish, modify sensitive CRM fields, or contact an existing client without the approved human checkpoint.</w:t>
      </w:r>
    </w:p>
    <w:p>
      <w:pPr>
        <w:pStyle w:val="ListBullet"/>
        <w:spacing w:after="80" w:line="288" w:lineRule="auto"/>
        <w:ind w:left="540" w:hanging="271"/>
      </w:pPr>
      <w:r>
        <w:rPr>
          <w:rFonts w:ascii="Calibri" w:hAnsi="Calibri"/>
          <w:b w:val="0"/>
          <w:i w:val="0"/>
          <w:sz w:val="22"/>
        </w:rPr>
        <w:t>When sources disagree, preserve the conflict, show confidence, and ask Jeff to decide.</w:t>
      </w:r>
    </w:p>
    <w:p>
      <w:pPr>
        <w:pStyle w:val="ListBullet"/>
        <w:spacing w:after="80" w:line="288" w:lineRule="auto"/>
        <w:ind w:left="540" w:hanging="271"/>
      </w:pPr>
      <w:r>
        <w:rPr>
          <w:rFonts w:ascii="Calibri" w:hAnsi="Calibri"/>
          <w:b w:val="0"/>
          <w:i w:val="0"/>
          <w:sz w:val="22"/>
        </w:rPr>
        <w:t>Log what the system recommended or changed, the source evidence, and who approved it.</w:t>
      </w:r>
    </w:p>
    <w:p>
      <w:pPr>
        <w:pStyle w:val="ListBullet"/>
        <w:spacing w:after="80" w:line="288" w:lineRule="auto"/>
        <w:ind w:left="540" w:hanging="271"/>
      </w:pPr>
      <w:r>
        <w:rPr>
          <w:rFonts w:ascii="Calibri" w:hAnsi="Calibri"/>
          <w:b w:val="0"/>
          <w:i w:val="0"/>
          <w:sz w:val="22"/>
        </w:rPr>
        <w:t>Honor opt-outs, do-not-contact requirements, channel rules, and applicable outreach/recording policies.</w:t>
      </w:r>
    </w:p>
    <w:p>
      <w:pPr>
        <w:pStyle w:val="Heading1"/>
        <w:keepNext/>
      </w:pPr>
      <w:r>
        <w:t>8. Jeff’s Follow-Up Submission Package</w:t>
      </w:r>
    </w:p>
    <w:p>
      <w:r>
        <w:t>Jeff can submit the material in batches. Original files are better than summaries because the examples will be used to extract voice, rules, edge cases, and CRM requirements.</w:t>
      </w:r>
    </w:p>
    <w:tbl>
      <w:tblPr>
        <w:tblStyle w:val="TableGrid"/>
        <w:tblW w:type="dxa" w:w="9360"/>
        <w:tblLayout w:type="fixed"/>
        <w:tblLook w:firstColumn="1" w:firstRow="1" w:lastColumn="0" w:lastRow="0" w:noHBand="0" w:noVBand="1" w:val="04A0"/>
        <w:jc w:val="left"/>
        <w:tblInd w:w="120" w:type="dxa"/>
      </w:tblPr>
      <w:tblGrid>
        <w:gridCol w:w="1680"/>
        <w:gridCol w:w="4860"/>
        <w:gridCol w:w="2820"/>
      </w:tblGrid>
      <w:tr>
        <w:trPr>
          <w:tblHeader/>
        </w:trPr>
        <w:tc>
          <w:tcPr>
            <w:tcW w:type="dxa" w:w="168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Batch</w:t>
            </w:r>
          </w:p>
        </w:tc>
        <w:tc>
          <w:tcPr>
            <w:tcW w:type="dxa" w:w="486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Items</w:t>
            </w:r>
          </w:p>
        </w:tc>
        <w:tc>
          <w:tcPr>
            <w:tcW w:type="dxa" w:w="282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What It Unlocks</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A — Required first</w:t>
            </w:r>
          </w:p>
        </w:tc>
        <w:tc>
          <w:tcPr>
            <w:tcW w:type="dxa" w:w="4860"/>
            <w:vAlign w:val="center"/>
            <w:tcMar>
              <w:top w:w="100" w:type="dxa"/>
              <w:start w:w="120" w:type="dxa"/>
              <w:bottom w:w="100" w:type="dxa"/>
              <w:end w:w="120" w:type="dxa"/>
            </w:tcMar>
          </w:tcPr>
          <w:p>
            <w:pPr>
              <w:spacing w:before="0" w:after="0" w:line="259" w:lineRule="auto"/>
            </w:pPr>
            <w:r>
              <w:rPr>
                <w:rFonts w:ascii="Calibri" w:hAnsi="Calibri"/>
                <w:b w:val="0"/>
                <w:i w:val="0"/>
                <w:sz w:val="19"/>
              </w:rPr>
              <w:t>3–5 real target companies; 3 past wins; 3 strong-looking losses; ICP examples and disqualifiers</w:t>
            </w:r>
          </w:p>
        </w:tc>
        <w:tc>
          <w:tcPr>
            <w:tcW w:type="dxa" w:w="2820"/>
            <w:vAlign w:val="center"/>
            <w:tcMar>
              <w:top w:w="100" w:type="dxa"/>
              <w:start w:w="120" w:type="dxa"/>
              <w:bottom w:w="100" w:type="dxa"/>
              <w:end w:w="120" w:type="dxa"/>
            </w:tcMar>
          </w:tcPr>
          <w:p>
            <w:pPr>
              <w:spacing w:before="0" w:after="0" w:line="259" w:lineRule="auto"/>
            </w:pPr>
            <w:r>
              <w:rPr>
                <w:rFonts w:ascii="Calibri" w:hAnsi="Calibri"/>
                <w:b w:val="0"/>
                <w:i w:val="0"/>
                <w:sz w:val="19"/>
              </w:rPr>
              <w:t>Unlocks qualification and scoring rules</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B — Messaging evidence</w:t>
            </w:r>
          </w:p>
        </w:tc>
        <w:tc>
          <w:tcPr>
            <w:tcW w:type="dxa" w:w="4860"/>
            <w:vAlign w:val="center"/>
            <w:tcMar>
              <w:top w:w="100" w:type="dxa"/>
              <w:start w:w="120" w:type="dxa"/>
              <w:bottom w:w="100" w:type="dxa"/>
              <w:end w:w="120" w:type="dxa"/>
            </w:tcMar>
          </w:tcPr>
          <w:p>
            <w:pPr>
              <w:spacing w:before="0" w:after="0" w:line="259" w:lineRule="auto"/>
            </w:pPr>
            <w:r>
              <w:rPr>
                <w:rFonts w:ascii="Calibri" w:hAnsi="Calibri"/>
                <w:b w:val="0"/>
                <w:i w:val="0"/>
                <w:sz w:val="19"/>
              </w:rPr>
              <w:t>5 successful prospecting emails; 5 weak/unsuccessful emails; typical follow-ups; LinkedIn conversations; scripts</w:t>
            </w:r>
          </w:p>
        </w:tc>
        <w:tc>
          <w:tcPr>
            <w:tcW w:type="dxa" w:w="2820"/>
            <w:vAlign w:val="center"/>
            <w:tcMar>
              <w:top w:w="100" w:type="dxa"/>
              <w:start w:w="120" w:type="dxa"/>
              <w:bottom w:w="100" w:type="dxa"/>
              <w:end w:w="120" w:type="dxa"/>
            </w:tcMar>
          </w:tcPr>
          <w:p>
            <w:pPr>
              <w:spacing w:before="0" w:after="0" w:line="259" w:lineRule="auto"/>
            </w:pPr>
            <w:r>
              <w:rPr>
                <w:rFonts w:ascii="Calibri" w:hAnsi="Calibri"/>
                <w:b w:val="0"/>
                <w:i w:val="0"/>
                <w:sz w:val="19"/>
              </w:rPr>
              <w:t>Unlocks Jeff voice and outreach playbook</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C — Offer evidence</w:t>
            </w:r>
          </w:p>
        </w:tc>
        <w:tc>
          <w:tcPr>
            <w:tcW w:type="dxa" w:w="4860"/>
            <w:vAlign w:val="center"/>
            <w:tcMar>
              <w:top w:w="100" w:type="dxa"/>
              <w:start w:w="120" w:type="dxa"/>
              <w:bottom w:w="100" w:type="dxa"/>
              <w:end w:w="120" w:type="dxa"/>
            </w:tcMar>
          </w:tcPr>
          <w:p>
            <w:pPr>
              <w:spacing w:before="0" w:after="0" w:line="259" w:lineRule="auto"/>
            </w:pPr>
            <w:r>
              <w:rPr>
                <w:rFonts w:ascii="Calibri" w:hAnsi="Calibri"/>
                <w:b w:val="0"/>
                <w:i w:val="0"/>
                <w:sz w:val="19"/>
              </w:rPr>
              <w:t>Spend Assessment materials; service descriptions; presentation; FAQs; objections; case studies; testimonials</w:t>
            </w:r>
          </w:p>
        </w:tc>
        <w:tc>
          <w:tcPr>
            <w:tcW w:type="dxa" w:w="2820"/>
            <w:vAlign w:val="center"/>
            <w:tcMar>
              <w:top w:w="100" w:type="dxa"/>
              <w:start w:w="120" w:type="dxa"/>
              <w:bottom w:w="100" w:type="dxa"/>
              <w:end w:w="120" w:type="dxa"/>
            </w:tcMar>
          </w:tcPr>
          <w:p>
            <w:pPr>
              <w:spacing w:before="0" w:after="0" w:line="259" w:lineRule="auto"/>
            </w:pPr>
            <w:r>
              <w:rPr>
                <w:rFonts w:ascii="Calibri" w:hAnsi="Calibri"/>
                <w:b w:val="0"/>
                <w:i w:val="0"/>
                <w:sz w:val="19"/>
              </w:rPr>
              <w:t>Unlocks accurate offer messaging</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D — CRM evidence</w:t>
            </w:r>
          </w:p>
        </w:tc>
        <w:tc>
          <w:tcPr>
            <w:tcW w:type="dxa" w:w="4860"/>
            <w:vAlign w:val="center"/>
            <w:tcMar>
              <w:top w:w="100" w:type="dxa"/>
              <w:start w:w="120" w:type="dxa"/>
              <w:bottom w:w="100" w:type="dxa"/>
              <w:end w:w="120" w:type="dxa"/>
            </w:tcMar>
          </w:tcPr>
          <w:p>
            <w:pPr>
              <w:spacing w:before="0" w:after="0" w:line="259" w:lineRule="auto"/>
            </w:pPr>
            <w:r>
              <w:rPr>
                <w:rFonts w:ascii="Calibri" w:hAnsi="Calibri"/>
                <w:b w:val="0"/>
                <w:i w:val="0"/>
                <w:sz w:val="19"/>
              </w:rPr>
              <w:t>HubSpot screenshots/export of pipeline stages, lead statuses, required fields, sequences, tasks, and current automations</w:t>
            </w:r>
          </w:p>
        </w:tc>
        <w:tc>
          <w:tcPr>
            <w:tcW w:type="dxa" w:w="2820"/>
            <w:vAlign w:val="center"/>
            <w:tcMar>
              <w:top w:w="100" w:type="dxa"/>
              <w:start w:w="120" w:type="dxa"/>
              <w:bottom w:w="100" w:type="dxa"/>
              <w:end w:w="120" w:type="dxa"/>
            </w:tcMar>
          </w:tcPr>
          <w:p>
            <w:pPr>
              <w:spacing w:before="0" w:after="0" w:line="259" w:lineRule="auto"/>
            </w:pPr>
            <w:r>
              <w:rPr>
                <w:rFonts w:ascii="Calibri" w:hAnsi="Calibri"/>
                <w:b w:val="0"/>
                <w:i w:val="0"/>
                <w:sz w:val="19"/>
              </w:rPr>
              <w:t>Unlocks data mapping and safe write rules</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E — Commercial rules</w:t>
            </w:r>
          </w:p>
        </w:tc>
        <w:tc>
          <w:tcPr>
            <w:tcW w:type="dxa" w:w="4860"/>
            <w:vAlign w:val="center"/>
            <w:tcMar>
              <w:top w:w="100" w:type="dxa"/>
              <w:start w:w="120" w:type="dxa"/>
              <w:bottom w:w="100" w:type="dxa"/>
              <w:end w:w="120" w:type="dxa"/>
            </w:tcMar>
          </w:tcPr>
          <w:p>
            <w:pPr>
              <w:spacing w:before="0" w:after="0" w:line="259" w:lineRule="auto"/>
            </w:pPr>
            <w:r>
              <w:rPr>
                <w:rFonts w:ascii="Calibri" w:hAnsi="Calibri"/>
                <w:b w:val="0"/>
                <w:i w:val="0"/>
                <w:sz w:val="19"/>
              </w:rPr>
              <w:t>Attribution definition; commission qualification; existing-relationship treatment; reviewer and review cadence</w:t>
            </w:r>
          </w:p>
        </w:tc>
        <w:tc>
          <w:tcPr>
            <w:tcW w:type="dxa" w:w="2820"/>
            <w:vAlign w:val="center"/>
            <w:tcMar>
              <w:top w:w="100" w:type="dxa"/>
              <w:start w:w="120" w:type="dxa"/>
              <w:bottom w:w="100" w:type="dxa"/>
              <w:end w:w="120" w:type="dxa"/>
            </w:tcMar>
          </w:tcPr>
          <w:p>
            <w:pPr>
              <w:spacing w:before="0" w:after="0" w:line="259" w:lineRule="auto"/>
            </w:pPr>
            <w:r>
              <w:rPr>
                <w:rFonts w:ascii="Calibri" w:hAnsi="Calibri"/>
                <w:b w:val="0"/>
                <w:i w:val="0"/>
                <w:sz w:val="19"/>
              </w:rPr>
              <w:t>Unlocks auditable revenue-share tracking</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F — Approval rules</w:t>
            </w:r>
          </w:p>
        </w:tc>
        <w:tc>
          <w:tcPr>
            <w:tcW w:type="dxa" w:w="4860"/>
            <w:vAlign w:val="center"/>
            <w:tcMar>
              <w:top w:w="100" w:type="dxa"/>
              <w:start w:w="120" w:type="dxa"/>
              <w:bottom w:w="100" w:type="dxa"/>
              <w:end w:w="120" w:type="dxa"/>
            </w:tcMar>
          </w:tcPr>
          <w:p>
            <w:pPr>
              <w:spacing w:before="0" w:after="0" w:line="259" w:lineRule="auto"/>
            </w:pPr>
            <w:r>
              <w:rPr>
                <w:rFonts w:ascii="Calibri" w:hAnsi="Calibri"/>
                <w:b w:val="0"/>
                <w:i w:val="0"/>
                <w:sz w:val="19"/>
              </w:rPr>
              <w:t>What AI may draft, create, update, schedule, or send; what always requires approval; unacceptable-error list</w:t>
            </w:r>
          </w:p>
        </w:tc>
        <w:tc>
          <w:tcPr>
            <w:tcW w:type="dxa" w:w="2820"/>
            <w:vAlign w:val="center"/>
            <w:tcMar>
              <w:top w:w="100" w:type="dxa"/>
              <w:start w:w="120" w:type="dxa"/>
              <w:bottom w:w="100" w:type="dxa"/>
              <w:end w:w="120" w:type="dxa"/>
            </w:tcMar>
          </w:tcPr>
          <w:p>
            <w:pPr>
              <w:spacing w:before="0" w:after="0" w:line="259" w:lineRule="auto"/>
            </w:pPr>
            <w:r>
              <w:rPr>
                <w:rFonts w:ascii="Calibri" w:hAnsi="Calibri"/>
                <w:b w:val="0"/>
                <w:i w:val="0"/>
                <w:sz w:val="19"/>
              </w:rPr>
              <w:t>Unlocks autonomy policy</w:t>
            </w:r>
          </w:p>
        </w:tc>
      </w:tr>
    </w:tbl>
    <w:p>
      <w:pPr>
        <w:spacing w:after="0"/>
      </w:pPr>
    </w:p>
    <w:p>
      <w:pPr>
        <w:pStyle w:val="Heading1"/>
        <w:keepNext/>
      </w:pPr>
      <w:r>
        <w:t>9. Live Workflow Capture Instructions</w:t>
      </w:r>
    </w:p>
    <w:p>
      <w:r>
        <w:t>Record a screen-share while Jeff completes the real process from start to finish using HubSpot, Sales Navigator, ZoomInfo, LeadIQ, company sites, email, and any other actual tools. Jeff should narrate why he clicks, skips, trusts, rejects, or changes course.</w:t>
      </w:r>
    </w:p>
    <w:p>
      <w:pPr>
        <w:pStyle w:val="ListNumber"/>
        <w:spacing w:after="80" w:line="288" w:lineRule="auto"/>
        <w:ind w:left="540" w:hanging="271"/>
      </w:pPr>
      <w:r>
        <w:rPr>
          <w:rFonts w:ascii="Calibri" w:hAnsi="Calibri"/>
          <w:b w:val="0"/>
          <w:i w:val="0"/>
          <w:sz w:val="22"/>
        </w:rPr>
        <w:t>One prospect Jeff accepts quickly.</w:t>
      </w:r>
    </w:p>
    <w:p>
      <w:pPr>
        <w:pStyle w:val="ListNumber"/>
        <w:spacing w:after="80" w:line="288" w:lineRule="auto"/>
        <w:ind w:left="540" w:hanging="271"/>
      </w:pPr>
      <w:r>
        <w:rPr>
          <w:rFonts w:ascii="Calibri" w:hAnsi="Calibri"/>
          <w:b w:val="0"/>
          <w:i w:val="0"/>
          <w:sz w:val="22"/>
        </w:rPr>
        <w:t>One prospect Jeff rejects after research.</w:t>
      </w:r>
    </w:p>
    <w:p>
      <w:pPr>
        <w:pStyle w:val="ListNumber"/>
        <w:spacing w:after="80" w:line="288" w:lineRule="auto"/>
        <w:ind w:left="540" w:hanging="271"/>
      </w:pPr>
      <w:r>
        <w:rPr>
          <w:rFonts w:ascii="Calibri" w:hAnsi="Calibri"/>
          <w:b w:val="0"/>
          <w:i w:val="0"/>
          <w:sz w:val="22"/>
        </w:rPr>
        <w:t>One ambiguous or surprising prospect that exposes an exception.</w:t>
      </w:r>
    </w:p>
    <w:p>
      <w:pPr>
        <w:pStyle w:val="ListNumber"/>
        <w:spacing w:after="80" w:line="288" w:lineRule="auto"/>
        <w:ind w:left="540" w:hanging="271"/>
      </w:pPr>
      <w:r>
        <w:rPr>
          <w:rFonts w:ascii="Calibri" w:hAnsi="Calibri"/>
          <w:b w:val="0"/>
          <w:i w:val="0"/>
          <w:sz w:val="22"/>
        </w:rPr>
        <w:t>One outreach draft and the edits Jeff makes before approving it.</w:t>
      </w:r>
    </w:p>
    <w:p>
      <w:pPr>
        <w:pStyle w:val="ListNumber"/>
        <w:spacing w:after="80" w:line="288" w:lineRule="auto"/>
        <w:ind w:left="540" w:hanging="271"/>
      </w:pPr>
      <w:r>
        <w:rPr>
          <w:rFonts w:ascii="Calibri" w:hAnsi="Calibri"/>
          <w:b w:val="0"/>
          <w:i w:val="0"/>
          <w:sz w:val="22"/>
        </w:rPr>
        <w:t>One HubSpot update, including the fields he always completes and the fields he avoids.</w:t>
      </w:r>
    </w:p>
    <w:p>
      <w:pPr>
        <w:pStyle w:val="ListNumber"/>
        <w:spacing w:after="80" w:line="288" w:lineRule="auto"/>
        <w:ind w:left="540" w:hanging="271"/>
      </w:pPr>
      <w:r>
        <w:rPr>
          <w:rFonts w:ascii="Calibri" w:hAnsi="Calibri"/>
          <w:b w:val="0"/>
          <w:i w:val="0"/>
          <w:sz w:val="22"/>
        </w:rPr>
        <w:t>One follow-up decision: continue, change channel, nurture, refer, or stop.</w:t>
      </w:r>
    </w:p>
    <w:p>
      <w:pPr>
        <w:pStyle w:val="Heading2"/>
        <w:keepNext/>
      </w:pPr>
      <w:r>
        <w:t>For every meaningful decision, capture</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trPr>
        <w:tc>
          <w:tcPr>
            <w:tcW w:type="dxa" w:w="180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Field</w:t>
            </w:r>
          </w:p>
        </w:tc>
        <w:tc>
          <w:tcPr>
            <w:tcW w:type="dxa" w:w="756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Question</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sz w:val="19"/>
              </w:rPr>
              <w:t>Trigger</w:t>
            </w:r>
          </w:p>
        </w:tc>
        <w:tc>
          <w:tcPr>
            <w:tcW w:type="dxa" w:w="7560"/>
            <w:vAlign w:val="center"/>
            <w:tcMar>
              <w:top w:w="100" w:type="dxa"/>
              <w:start w:w="120" w:type="dxa"/>
              <w:bottom w:w="100" w:type="dxa"/>
              <w:end w:w="120" w:type="dxa"/>
            </w:tcMar>
          </w:tcPr>
          <w:p>
            <w:pPr>
              <w:spacing w:before="0" w:after="0" w:line="259" w:lineRule="auto"/>
            </w:pPr>
            <w:r>
              <w:rPr>
                <w:rFonts w:ascii="Calibri" w:hAnsi="Calibri"/>
                <w:b w:val="0"/>
                <w:i w:val="0"/>
                <w:sz w:val="19"/>
              </w:rPr>
              <w:t>What caused Jeff to consider taking action?</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sz w:val="19"/>
              </w:rPr>
              <w:t>Decision</w:t>
            </w:r>
          </w:p>
        </w:tc>
        <w:tc>
          <w:tcPr>
            <w:tcW w:type="dxa" w:w="7560"/>
            <w:vAlign w:val="center"/>
            <w:tcMar>
              <w:top w:w="100" w:type="dxa"/>
              <w:start w:w="120" w:type="dxa"/>
              <w:bottom w:w="100" w:type="dxa"/>
              <w:end w:w="120" w:type="dxa"/>
            </w:tcMar>
          </w:tcPr>
          <w:p>
            <w:pPr>
              <w:spacing w:before="0" w:after="0" w:line="259" w:lineRule="auto"/>
            </w:pPr>
            <w:r>
              <w:rPr>
                <w:rFonts w:ascii="Calibri" w:hAnsi="Calibri"/>
                <w:b w:val="0"/>
                <w:i w:val="0"/>
                <w:sz w:val="19"/>
              </w:rPr>
              <w:t>What did Jeff decide?</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sz w:val="19"/>
              </w:rPr>
              <w:t>Rule</w:t>
            </w:r>
          </w:p>
        </w:tc>
        <w:tc>
          <w:tcPr>
            <w:tcW w:type="dxa" w:w="7560"/>
            <w:vAlign w:val="center"/>
            <w:tcMar>
              <w:top w:w="100" w:type="dxa"/>
              <w:start w:w="120" w:type="dxa"/>
              <w:bottom w:w="100" w:type="dxa"/>
              <w:end w:w="120" w:type="dxa"/>
            </w:tcMar>
          </w:tcPr>
          <w:p>
            <w:pPr>
              <w:spacing w:before="0" w:after="0" w:line="259" w:lineRule="auto"/>
            </w:pPr>
            <w:r>
              <w:rPr>
                <w:rFonts w:ascii="Calibri" w:hAnsi="Calibri"/>
                <w:b w:val="0"/>
                <w:i w:val="0"/>
                <w:sz w:val="19"/>
              </w:rPr>
              <w:t>Why did he make that decision, and how could the system repeat it?</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sz w:val="19"/>
              </w:rPr>
              <w:t>Action</w:t>
            </w:r>
          </w:p>
        </w:tc>
        <w:tc>
          <w:tcPr>
            <w:tcW w:type="dxa" w:w="7560"/>
            <w:vAlign w:val="center"/>
            <w:tcMar>
              <w:top w:w="100" w:type="dxa"/>
              <w:start w:w="120" w:type="dxa"/>
              <w:bottom w:w="100" w:type="dxa"/>
              <w:end w:w="120" w:type="dxa"/>
            </w:tcMar>
          </w:tcPr>
          <w:p>
            <w:pPr>
              <w:spacing w:before="0" w:after="0" w:line="259" w:lineRule="auto"/>
            </w:pPr>
            <w:r>
              <w:rPr>
                <w:rFonts w:ascii="Calibri" w:hAnsi="Calibri"/>
                <w:b w:val="0"/>
                <w:i w:val="0"/>
                <w:sz w:val="19"/>
              </w:rPr>
              <w:t>What happened next, in which tool, and what was recorded?</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sz w:val="19"/>
              </w:rPr>
              <w:t>Exception</w:t>
            </w:r>
          </w:p>
        </w:tc>
        <w:tc>
          <w:tcPr>
            <w:tcW w:type="dxa" w:w="7560"/>
            <w:vAlign w:val="center"/>
            <w:tcMar>
              <w:top w:w="100" w:type="dxa"/>
              <w:start w:w="120" w:type="dxa"/>
              <w:bottom w:w="100" w:type="dxa"/>
              <w:end w:w="120" w:type="dxa"/>
            </w:tcMar>
          </w:tcPr>
          <w:p>
            <w:pPr>
              <w:spacing w:before="0" w:after="0" w:line="259" w:lineRule="auto"/>
            </w:pPr>
            <w:r>
              <w:rPr>
                <w:rFonts w:ascii="Calibri" w:hAnsi="Calibri"/>
                <w:b w:val="0"/>
                <w:i w:val="0"/>
                <w:sz w:val="19"/>
              </w:rPr>
              <w:t>When would Jeff do something different?</w:t>
            </w:r>
          </w:p>
        </w:tc>
      </w:tr>
      <w:tr>
        <w:tc>
          <w:tcPr>
            <w:tcW w:type="dxa" w:w="1800"/>
            <w:vAlign w:val="center"/>
            <w:tcMar>
              <w:top w:w="100" w:type="dxa"/>
              <w:start w:w="120" w:type="dxa"/>
              <w:bottom w:w="100" w:type="dxa"/>
              <w:end w:w="120" w:type="dxa"/>
            </w:tcMar>
          </w:tcPr>
          <w:p>
            <w:pPr>
              <w:spacing w:before="0" w:after="0" w:line="259" w:lineRule="auto"/>
            </w:pPr>
            <w:r>
              <w:rPr>
                <w:rFonts w:ascii="Calibri" w:hAnsi="Calibri"/>
                <w:b w:val="0"/>
                <w:i w:val="0"/>
                <w:sz w:val="19"/>
              </w:rPr>
              <w:t>Confidence</w:t>
            </w:r>
          </w:p>
        </w:tc>
        <w:tc>
          <w:tcPr>
            <w:tcW w:type="dxa" w:w="7560"/>
            <w:vAlign w:val="center"/>
            <w:tcMar>
              <w:top w:w="100" w:type="dxa"/>
              <w:start w:w="120" w:type="dxa"/>
              <w:bottom w:w="100" w:type="dxa"/>
              <w:end w:w="120" w:type="dxa"/>
            </w:tcMar>
          </w:tcPr>
          <w:p>
            <w:pPr>
              <w:spacing w:before="0" w:after="0" w:line="259" w:lineRule="auto"/>
            </w:pPr>
            <w:r>
              <w:rPr>
                <w:rFonts w:ascii="Calibri" w:hAnsi="Calibri"/>
                <w:b w:val="0"/>
                <w:i w:val="0"/>
                <w:sz w:val="19"/>
              </w:rPr>
              <w:t>What evidence is sufficient, and when must the system ask?</w:t>
            </w:r>
          </w:p>
        </w:tc>
      </w:tr>
    </w:tbl>
    <w:p>
      <w:pPr>
        <w:spacing w:after="0"/>
      </w:pPr>
    </w:p>
    <w:p>
      <w:pPr>
        <w:pStyle w:val="Heading1"/>
        <w:keepNext/>
      </w:pPr>
      <w:r>
        <w:t>10. Open Decision Register</w:t>
      </w:r>
    </w:p>
    <w:tbl>
      <w:tblPr>
        <w:tblStyle w:val="TableGrid"/>
        <w:tblW w:type="dxa" w:w="9360"/>
        <w:tblLayout w:type="fixed"/>
        <w:tblLook w:firstColumn="1" w:firstRow="1" w:lastColumn="0" w:lastRow="0" w:noHBand="0" w:noVBand="1" w:val="04A0"/>
        <w:jc w:val="left"/>
        <w:tblInd w:w="120" w:type="dxa"/>
      </w:tblPr>
      <w:tblGrid>
        <w:gridCol w:w="1680"/>
        <w:gridCol w:w="6120"/>
        <w:gridCol w:w="1560"/>
      </w:tblGrid>
      <w:tr>
        <w:trPr>
          <w:tblHeader/>
        </w:trPr>
        <w:tc>
          <w:tcPr>
            <w:tcW w:type="dxa" w:w="168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Area</w:t>
            </w:r>
          </w:p>
        </w:tc>
        <w:tc>
          <w:tcPr>
            <w:tcW w:type="dxa" w:w="612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Decision Needed</w:t>
            </w:r>
          </w:p>
        </w:tc>
        <w:tc>
          <w:tcPr>
            <w:tcW w:type="dxa" w:w="156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Owner</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ICP</w:t>
            </w:r>
          </w:p>
        </w:tc>
        <w:tc>
          <w:tcPr>
            <w:tcW w:type="dxa" w:w="6120"/>
            <w:vAlign w:val="center"/>
            <w:tcMar>
              <w:top w:w="100" w:type="dxa"/>
              <w:start w:w="120" w:type="dxa"/>
              <w:bottom w:w="100" w:type="dxa"/>
              <w:end w:w="120" w:type="dxa"/>
            </w:tcMar>
          </w:tcPr>
          <w:p>
            <w:pPr>
              <w:spacing w:before="0" w:after="0" w:line="259" w:lineRule="auto"/>
            </w:pPr>
            <w:r>
              <w:rPr>
                <w:rFonts w:ascii="Calibri" w:hAnsi="Calibri"/>
                <w:b w:val="0"/>
                <w:i w:val="0"/>
                <w:sz w:val="19"/>
              </w:rPr>
              <w:t>Minimum/ideal size, industries, geography, ownership, locations, disqualifiers</w:t>
            </w:r>
          </w:p>
        </w:tc>
        <w:tc>
          <w:tcPr>
            <w:tcW w:type="dxa" w:w="1560"/>
            <w:vAlign w:val="center"/>
            <w:tcMar>
              <w:top w:w="100" w:type="dxa"/>
              <w:start w:w="120" w:type="dxa"/>
              <w:bottom w:w="100" w:type="dxa"/>
              <w:end w:w="120" w:type="dxa"/>
            </w:tcMar>
          </w:tcPr>
          <w:p>
            <w:pPr>
              <w:spacing w:before="0" w:after="0" w:line="259" w:lineRule="auto"/>
            </w:pPr>
            <w:r>
              <w:rPr>
                <w:rFonts w:ascii="Calibri" w:hAnsi="Calibri"/>
                <w:b w:val="0"/>
                <w:i w:val="0"/>
                <w:sz w:val="19"/>
              </w:rPr>
              <w:t>Jeff</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Offer</w:t>
            </w:r>
          </w:p>
        </w:tc>
        <w:tc>
          <w:tcPr>
            <w:tcW w:type="dxa" w:w="6120"/>
            <w:vAlign w:val="center"/>
            <w:tcMar>
              <w:top w:w="100" w:type="dxa"/>
              <w:start w:w="120" w:type="dxa"/>
              <w:bottom w:w="100" w:type="dxa"/>
              <w:end w:w="120" w:type="dxa"/>
            </w:tcMar>
          </w:tcPr>
          <w:p>
            <w:pPr>
              <w:spacing w:before="0" w:after="0" w:line="259" w:lineRule="auto"/>
            </w:pPr>
            <w:r>
              <w:rPr>
                <w:rFonts w:ascii="Calibri" w:hAnsi="Calibri"/>
                <w:b w:val="0"/>
                <w:i w:val="0"/>
                <w:sz w:val="19"/>
              </w:rPr>
              <w:t>Exact Spend Assessment promise, inputs, outputs, timing, obligation, next steps</w:t>
            </w:r>
          </w:p>
        </w:tc>
        <w:tc>
          <w:tcPr>
            <w:tcW w:type="dxa" w:w="1560"/>
            <w:vAlign w:val="center"/>
            <w:tcMar>
              <w:top w:w="100" w:type="dxa"/>
              <w:start w:w="120" w:type="dxa"/>
              <w:bottom w:w="100" w:type="dxa"/>
              <w:end w:w="120" w:type="dxa"/>
            </w:tcMar>
          </w:tcPr>
          <w:p>
            <w:pPr>
              <w:spacing w:before="0" w:after="0" w:line="259" w:lineRule="auto"/>
            </w:pPr>
            <w:r>
              <w:rPr>
                <w:rFonts w:ascii="Calibri" w:hAnsi="Calibri"/>
                <w:b w:val="0"/>
                <w:i w:val="0"/>
                <w:sz w:val="19"/>
              </w:rPr>
              <w:t>Jeff</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Scoring</w:t>
            </w:r>
          </w:p>
        </w:tc>
        <w:tc>
          <w:tcPr>
            <w:tcW w:type="dxa" w:w="6120"/>
            <w:vAlign w:val="center"/>
            <w:tcMar>
              <w:top w:w="100" w:type="dxa"/>
              <w:start w:w="120" w:type="dxa"/>
              <w:bottom w:w="100" w:type="dxa"/>
              <w:end w:w="120" w:type="dxa"/>
            </w:tcMar>
          </w:tcPr>
          <w:p>
            <w:pPr>
              <w:spacing w:before="0" w:after="0" w:line="259" w:lineRule="auto"/>
            </w:pPr>
            <w:r>
              <w:rPr>
                <w:rFonts w:ascii="Calibri" w:hAnsi="Calibri"/>
                <w:b w:val="0"/>
                <w:i w:val="0"/>
                <w:sz w:val="19"/>
              </w:rPr>
              <w:t>Factors, weights, pursue threshold, stop threshold, confidence policy</w:t>
            </w:r>
          </w:p>
        </w:tc>
        <w:tc>
          <w:tcPr>
            <w:tcW w:type="dxa" w:w="1560"/>
            <w:vAlign w:val="center"/>
            <w:tcMar>
              <w:top w:w="100" w:type="dxa"/>
              <w:start w:w="120" w:type="dxa"/>
              <w:bottom w:w="100" w:type="dxa"/>
              <w:end w:w="120" w:type="dxa"/>
            </w:tcMar>
          </w:tcPr>
          <w:p>
            <w:pPr>
              <w:spacing w:before="0" w:after="0" w:line="259" w:lineRule="auto"/>
            </w:pPr>
            <w:r>
              <w:rPr>
                <w:rFonts w:ascii="Calibri" w:hAnsi="Calibri"/>
                <w:b w:val="0"/>
                <w:i w:val="0"/>
                <w:sz w:val="19"/>
              </w:rPr>
              <w:t>Jeff + Coach Bouf</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Contacts</w:t>
            </w:r>
          </w:p>
        </w:tc>
        <w:tc>
          <w:tcPr>
            <w:tcW w:type="dxa" w:w="6120"/>
            <w:vAlign w:val="center"/>
            <w:tcMar>
              <w:top w:w="100" w:type="dxa"/>
              <w:start w:w="120" w:type="dxa"/>
              <w:bottom w:w="100" w:type="dxa"/>
              <w:end w:w="120" w:type="dxa"/>
            </w:tcMar>
          </w:tcPr>
          <w:p>
            <w:pPr>
              <w:spacing w:before="0" w:after="0" w:line="259" w:lineRule="auto"/>
            </w:pPr>
            <w:r>
              <w:rPr>
                <w:rFonts w:ascii="Calibri" w:hAnsi="Calibri"/>
                <w:b w:val="0"/>
                <w:i w:val="0"/>
                <w:sz w:val="19"/>
              </w:rPr>
              <w:t>Preferred titles by company size and source-trust hierarchy</w:t>
            </w:r>
          </w:p>
        </w:tc>
        <w:tc>
          <w:tcPr>
            <w:tcW w:type="dxa" w:w="1560"/>
            <w:vAlign w:val="center"/>
            <w:tcMar>
              <w:top w:w="100" w:type="dxa"/>
              <w:start w:w="120" w:type="dxa"/>
              <w:bottom w:w="100" w:type="dxa"/>
              <w:end w:w="120" w:type="dxa"/>
            </w:tcMar>
          </w:tcPr>
          <w:p>
            <w:pPr>
              <w:spacing w:before="0" w:after="0" w:line="259" w:lineRule="auto"/>
            </w:pPr>
            <w:r>
              <w:rPr>
                <w:rFonts w:ascii="Calibri" w:hAnsi="Calibri"/>
                <w:b w:val="0"/>
                <w:i w:val="0"/>
                <w:sz w:val="19"/>
              </w:rPr>
              <w:t>Jeff</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Messaging</w:t>
            </w:r>
          </w:p>
        </w:tc>
        <w:tc>
          <w:tcPr>
            <w:tcW w:type="dxa" w:w="6120"/>
            <w:vAlign w:val="center"/>
            <w:tcMar>
              <w:top w:w="100" w:type="dxa"/>
              <w:start w:w="120" w:type="dxa"/>
              <w:bottom w:w="100" w:type="dxa"/>
              <w:end w:w="120" w:type="dxa"/>
            </w:tcMar>
          </w:tcPr>
          <w:p>
            <w:pPr>
              <w:spacing w:before="0" w:after="0" w:line="259" w:lineRule="auto"/>
            </w:pPr>
            <w:r>
              <w:rPr>
                <w:rFonts w:ascii="Calibri" w:hAnsi="Calibri"/>
                <w:b w:val="0"/>
                <w:i w:val="0"/>
                <w:sz w:val="19"/>
              </w:rPr>
              <w:t>Voice, CTA, length, cadence, stop rules, phrases to use/avoid</w:t>
            </w:r>
          </w:p>
        </w:tc>
        <w:tc>
          <w:tcPr>
            <w:tcW w:type="dxa" w:w="1560"/>
            <w:vAlign w:val="center"/>
            <w:tcMar>
              <w:top w:w="100" w:type="dxa"/>
              <w:start w:w="120" w:type="dxa"/>
              <w:bottom w:w="100" w:type="dxa"/>
              <w:end w:w="120" w:type="dxa"/>
            </w:tcMar>
          </w:tcPr>
          <w:p>
            <w:pPr>
              <w:spacing w:before="0" w:after="0" w:line="259" w:lineRule="auto"/>
            </w:pPr>
            <w:r>
              <w:rPr>
                <w:rFonts w:ascii="Calibri" w:hAnsi="Calibri"/>
                <w:b w:val="0"/>
                <w:i w:val="0"/>
                <w:sz w:val="19"/>
              </w:rPr>
              <w:t>Jeff</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HubSpot</w:t>
            </w:r>
          </w:p>
        </w:tc>
        <w:tc>
          <w:tcPr>
            <w:tcW w:type="dxa" w:w="6120"/>
            <w:vAlign w:val="center"/>
            <w:tcMar>
              <w:top w:w="100" w:type="dxa"/>
              <w:start w:w="120" w:type="dxa"/>
              <w:bottom w:w="100" w:type="dxa"/>
              <w:end w:w="120" w:type="dxa"/>
            </w:tcMar>
          </w:tcPr>
          <w:p>
            <w:pPr>
              <w:spacing w:before="0" w:after="0" w:line="259" w:lineRule="auto"/>
            </w:pPr>
            <w:r>
              <w:rPr>
                <w:rFonts w:ascii="Calibri" w:hAnsi="Calibri"/>
                <w:b w:val="0"/>
                <w:i w:val="0"/>
                <w:sz w:val="19"/>
              </w:rPr>
              <w:t>Pipeline stages, required properties, permissions, sequences, integrations</w:t>
            </w:r>
          </w:p>
        </w:tc>
        <w:tc>
          <w:tcPr>
            <w:tcW w:type="dxa" w:w="1560"/>
            <w:vAlign w:val="center"/>
            <w:tcMar>
              <w:top w:w="100" w:type="dxa"/>
              <w:start w:w="120" w:type="dxa"/>
              <w:bottom w:w="100" w:type="dxa"/>
              <w:end w:w="120" w:type="dxa"/>
            </w:tcMar>
          </w:tcPr>
          <w:p>
            <w:pPr>
              <w:spacing w:before="0" w:after="0" w:line="259" w:lineRule="auto"/>
            </w:pPr>
            <w:r>
              <w:rPr>
                <w:rFonts w:ascii="Calibri" w:hAnsi="Calibri"/>
                <w:b w:val="0"/>
                <w:i w:val="0"/>
                <w:sz w:val="19"/>
              </w:rPr>
              <w:t>Jeff + system review</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Attribution</w:t>
            </w:r>
          </w:p>
        </w:tc>
        <w:tc>
          <w:tcPr>
            <w:tcW w:type="dxa" w:w="6120"/>
            <w:vAlign w:val="center"/>
            <w:tcMar>
              <w:top w:w="100" w:type="dxa"/>
              <w:start w:w="120" w:type="dxa"/>
              <w:bottom w:w="100" w:type="dxa"/>
              <w:end w:w="120" w:type="dxa"/>
            </w:tcMar>
          </w:tcPr>
          <w:p>
            <w:pPr>
              <w:spacing w:before="0" w:after="0" w:line="259" w:lineRule="auto"/>
            </w:pPr>
            <w:r>
              <w:rPr>
                <w:rFonts w:ascii="Calibri" w:hAnsi="Calibri"/>
                <w:b w:val="0"/>
                <w:i w:val="0"/>
                <w:sz w:val="19"/>
              </w:rPr>
              <w:t>Sourced vs. assisted, affirmative-interest signal, existing relationships, verification</w:t>
            </w:r>
          </w:p>
        </w:tc>
        <w:tc>
          <w:tcPr>
            <w:tcW w:type="dxa" w:w="1560"/>
            <w:vAlign w:val="center"/>
            <w:tcMar>
              <w:top w:w="100" w:type="dxa"/>
              <w:start w:w="120" w:type="dxa"/>
              <w:bottom w:w="100" w:type="dxa"/>
              <w:end w:w="120" w:type="dxa"/>
            </w:tcMar>
          </w:tcPr>
          <w:p>
            <w:pPr>
              <w:spacing w:before="0" w:after="0" w:line="259" w:lineRule="auto"/>
            </w:pPr>
            <w:r>
              <w:rPr>
                <w:rFonts w:ascii="Calibri" w:hAnsi="Calibri"/>
                <w:b w:val="0"/>
                <w:i w:val="0"/>
                <w:sz w:val="19"/>
              </w:rPr>
              <w:t>Jeff + Coach Bouf</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Autonomy</w:t>
            </w:r>
          </w:p>
        </w:tc>
        <w:tc>
          <w:tcPr>
            <w:tcW w:type="dxa" w:w="6120"/>
            <w:vAlign w:val="center"/>
            <w:tcMar>
              <w:top w:w="100" w:type="dxa"/>
              <w:start w:w="120" w:type="dxa"/>
              <w:bottom w:w="100" w:type="dxa"/>
              <w:end w:w="120" w:type="dxa"/>
            </w:tcMar>
          </w:tcPr>
          <w:p>
            <w:pPr>
              <w:spacing w:before="0" w:after="0" w:line="259" w:lineRule="auto"/>
            </w:pPr>
            <w:r>
              <w:rPr>
                <w:rFonts w:ascii="Calibri" w:hAnsi="Calibri"/>
                <w:b w:val="0"/>
                <w:i w:val="0"/>
                <w:sz w:val="19"/>
              </w:rPr>
              <w:t>Draft/create/update/send/schedule permissions and approvals</w:t>
            </w:r>
          </w:p>
        </w:tc>
        <w:tc>
          <w:tcPr>
            <w:tcW w:type="dxa" w:w="1560"/>
            <w:vAlign w:val="center"/>
            <w:tcMar>
              <w:top w:w="100" w:type="dxa"/>
              <w:start w:w="120" w:type="dxa"/>
              <w:bottom w:w="100" w:type="dxa"/>
              <w:end w:w="120" w:type="dxa"/>
            </w:tcMar>
          </w:tcPr>
          <w:p>
            <w:pPr>
              <w:spacing w:before="0" w:after="0" w:line="259" w:lineRule="auto"/>
            </w:pPr>
            <w:r>
              <w:rPr>
                <w:rFonts w:ascii="Calibri" w:hAnsi="Calibri"/>
                <w:b w:val="0"/>
                <w:i w:val="0"/>
                <w:sz w:val="19"/>
              </w:rPr>
              <w:t>Jeff + Coach Bouf</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Compliance</w:t>
            </w:r>
          </w:p>
        </w:tc>
        <w:tc>
          <w:tcPr>
            <w:tcW w:type="dxa" w:w="6120"/>
            <w:vAlign w:val="center"/>
            <w:tcMar>
              <w:top w:w="100" w:type="dxa"/>
              <w:start w:w="120" w:type="dxa"/>
              <w:bottom w:w="100" w:type="dxa"/>
              <w:end w:w="120" w:type="dxa"/>
            </w:tcMar>
          </w:tcPr>
          <w:p>
            <w:pPr>
              <w:spacing w:before="0" w:after="0" w:line="259" w:lineRule="auto"/>
            </w:pPr>
            <w:r>
              <w:rPr>
                <w:rFonts w:ascii="Calibri" w:hAnsi="Calibri"/>
                <w:b w:val="0"/>
                <w:i w:val="0"/>
                <w:sz w:val="19"/>
              </w:rPr>
              <w:t>Outreach channels, consent, opt-out, recording, retention, and data-use rules</w:t>
            </w:r>
          </w:p>
        </w:tc>
        <w:tc>
          <w:tcPr>
            <w:tcW w:type="dxa" w:w="1560"/>
            <w:vAlign w:val="center"/>
            <w:tcMar>
              <w:top w:w="100" w:type="dxa"/>
              <w:start w:w="120" w:type="dxa"/>
              <w:bottom w:w="100" w:type="dxa"/>
              <w:end w:w="120" w:type="dxa"/>
            </w:tcMar>
          </w:tcPr>
          <w:p>
            <w:pPr>
              <w:spacing w:before="0" w:after="0" w:line="259" w:lineRule="auto"/>
            </w:pPr>
            <w:r>
              <w:rPr>
                <w:rFonts w:ascii="Calibri" w:hAnsi="Calibri"/>
                <w:b w:val="0"/>
                <w:i w:val="0"/>
                <w:sz w:val="19"/>
              </w:rPr>
              <w:t>Business/legal owner</w:t>
            </w:r>
          </w:p>
        </w:tc>
      </w:tr>
      <w:tr>
        <w:tc>
          <w:tcPr>
            <w:tcW w:type="dxa" w:w="1680"/>
            <w:vAlign w:val="center"/>
            <w:tcMar>
              <w:top w:w="100" w:type="dxa"/>
              <w:start w:w="120" w:type="dxa"/>
              <w:bottom w:w="100" w:type="dxa"/>
              <w:end w:w="120" w:type="dxa"/>
            </w:tcMar>
          </w:tcPr>
          <w:p>
            <w:pPr>
              <w:spacing w:before="0" w:after="0" w:line="259" w:lineRule="auto"/>
            </w:pPr>
            <w:r>
              <w:rPr>
                <w:rFonts w:ascii="Calibri" w:hAnsi="Calibri"/>
                <w:b w:val="0"/>
                <w:i w:val="0"/>
                <w:sz w:val="19"/>
              </w:rPr>
              <w:t>Success</w:t>
            </w:r>
          </w:p>
        </w:tc>
        <w:tc>
          <w:tcPr>
            <w:tcW w:type="dxa" w:w="6120"/>
            <w:vAlign w:val="center"/>
            <w:tcMar>
              <w:top w:w="100" w:type="dxa"/>
              <w:start w:w="120" w:type="dxa"/>
              <w:bottom w:w="100" w:type="dxa"/>
              <w:end w:w="120" w:type="dxa"/>
            </w:tcMar>
          </w:tcPr>
          <w:p>
            <w:pPr>
              <w:spacing w:before="0" w:after="0" w:line="259" w:lineRule="auto"/>
            </w:pPr>
            <w:r>
              <w:rPr>
                <w:rFonts w:ascii="Calibri" w:hAnsi="Calibri"/>
                <w:b w:val="0"/>
                <w:i w:val="0"/>
                <w:sz w:val="19"/>
              </w:rPr>
              <w:t>30-day targets and baseline measures</w:t>
            </w:r>
          </w:p>
        </w:tc>
        <w:tc>
          <w:tcPr>
            <w:tcW w:type="dxa" w:w="1560"/>
            <w:vAlign w:val="center"/>
            <w:tcMar>
              <w:top w:w="100" w:type="dxa"/>
              <w:start w:w="120" w:type="dxa"/>
              <w:bottom w:w="100" w:type="dxa"/>
              <w:end w:w="120" w:type="dxa"/>
            </w:tcMar>
          </w:tcPr>
          <w:p>
            <w:pPr>
              <w:spacing w:before="0" w:after="0" w:line="259" w:lineRule="auto"/>
            </w:pPr>
            <w:r>
              <w:rPr>
                <w:rFonts w:ascii="Calibri" w:hAnsi="Calibri"/>
                <w:b w:val="0"/>
                <w:i w:val="0"/>
                <w:sz w:val="19"/>
              </w:rPr>
              <w:t>Jeff + Coach Bouf</w:t>
            </w:r>
          </w:p>
        </w:tc>
      </w:tr>
    </w:tbl>
    <w:p>
      <w:pPr>
        <w:spacing w:after="0"/>
      </w:pPr>
    </w:p>
    <w:p>
      <w:pPr>
        <w:pStyle w:val="Heading1"/>
        <w:keepNext/>
      </w:pPr>
      <w:r>
        <w:t>11. Recommended Build Sequence</w:t>
      </w:r>
    </w:p>
    <w:p>
      <w:pPr>
        <w:pStyle w:val="ListNumber"/>
        <w:spacing w:after="80" w:line="288" w:lineRule="auto"/>
        <w:ind w:left="540" w:hanging="271"/>
      </w:pPr>
      <w:r>
        <w:rPr>
          <w:rFonts w:ascii="Calibri" w:hAnsi="Calibri"/>
          <w:b w:val="0"/>
          <w:i w:val="0"/>
          <w:sz w:val="22"/>
        </w:rPr>
        <w:t>Add the verified Interview 1 transcript and extract decisions, examples, contradictions, and unresolved questions.</w:t>
      </w:r>
    </w:p>
    <w:p>
      <w:pPr>
        <w:pStyle w:val="ListNumber"/>
        <w:spacing w:after="80" w:line="288" w:lineRule="auto"/>
        <w:ind w:left="540" w:hanging="271"/>
      </w:pPr>
      <w:r>
        <w:rPr>
          <w:rFonts w:ascii="Calibri" w:hAnsi="Calibri"/>
          <w:b w:val="0"/>
          <w:i w:val="0"/>
          <w:sz w:val="22"/>
        </w:rPr>
        <w:t>Receive Jeff’s first follow-up batch: real prospects, wins/losses, and messaging examples.</w:t>
      </w:r>
    </w:p>
    <w:p>
      <w:pPr>
        <w:pStyle w:val="ListNumber"/>
        <w:spacing w:after="80" w:line="288" w:lineRule="auto"/>
        <w:ind w:left="540" w:hanging="271"/>
      </w:pPr>
      <w:r>
        <w:rPr>
          <w:rFonts w:ascii="Calibri" w:hAnsi="Calibri"/>
          <w:b w:val="0"/>
          <w:i w:val="0"/>
          <w:sz w:val="22"/>
        </w:rPr>
        <w:t>Run the live screen-share workflow capture and validate the actual tool sequence.</w:t>
      </w:r>
    </w:p>
    <w:p>
      <w:pPr>
        <w:pStyle w:val="ListNumber"/>
        <w:spacing w:after="80" w:line="288" w:lineRule="auto"/>
        <w:ind w:left="540" w:hanging="271"/>
      </w:pPr>
      <w:r>
        <w:rPr>
          <w:rFonts w:ascii="Calibri" w:hAnsi="Calibri"/>
          <w:b w:val="0"/>
          <w:i w:val="0"/>
          <w:sz w:val="22"/>
        </w:rPr>
        <w:t>Finalize the sales playbook, ICP rules, scoring rubric, guardrails, and HubSpot data contract.</w:t>
      </w:r>
    </w:p>
    <w:p>
      <w:pPr>
        <w:pStyle w:val="ListNumber"/>
        <w:spacing w:after="80" w:line="288" w:lineRule="auto"/>
        <w:ind w:left="540" w:hanging="271"/>
      </w:pPr>
      <w:r>
        <w:rPr>
          <w:rFonts w:ascii="Calibri" w:hAnsi="Calibri"/>
          <w:b w:val="0"/>
          <w:i w:val="0"/>
          <w:sz w:val="22"/>
        </w:rPr>
        <w:t>Build one approval-gated pilot workflow: research → recommendation → outreach draft → Jeff approval → CRM logging.</w:t>
      </w:r>
    </w:p>
    <w:p>
      <w:pPr>
        <w:pStyle w:val="ListNumber"/>
        <w:spacing w:after="80" w:line="288" w:lineRule="auto"/>
        <w:ind w:left="540" w:hanging="271"/>
      </w:pPr>
      <w:r>
        <w:rPr>
          <w:rFonts w:ascii="Calibri" w:hAnsi="Calibri"/>
          <w:b w:val="0"/>
          <w:i w:val="0"/>
          <w:sz w:val="22"/>
        </w:rPr>
        <w:t>Test on three to five prospects and compare manual versus AI-assisted time, accuracy, and quality.</w:t>
      </w:r>
    </w:p>
    <w:p>
      <w:pPr>
        <w:pStyle w:val="ListNumber"/>
        <w:spacing w:after="80" w:line="288" w:lineRule="auto"/>
        <w:ind w:left="540" w:hanging="271"/>
      </w:pPr>
      <w:r>
        <w:rPr>
          <w:rFonts w:ascii="Calibri" w:hAnsi="Calibri"/>
          <w:b w:val="0"/>
          <w:i w:val="0"/>
          <w:sz w:val="22"/>
        </w:rPr>
        <w:t>Only then decide which modular roles deserve separate skills or automations.</w:t>
      </w:r>
    </w:p>
    <w:p>
      <w:pPr>
        <w:pStyle w:val="Heading1"/>
        <w:keepNext/>
      </w:pPr>
      <w:r>
        <w:t>12. Phase 1 Acceptance Criteria</w:t>
      </w:r>
    </w:p>
    <w:p>
      <w:pPr>
        <w:pStyle w:val="ListBullet"/>
        <w:spacing w:after="80" w:line="288" w:lineRule="auto"/>
        <w:ind w:left="540" w:hanging="271"/>
      </w:pPr>
      <w:r>
        <w:rPr>
          <w:rFonts w:ascii="Calibri" w:hAnsi="Calibri"/>
          <w:b w:val="0"/>
          <w:i w:val="0"/>
          <w:sz w:val="22"/>
        </w:rPr>
        <w:t>Jeff confirms that the documented workflow matches how he actually works.</w:t>
      </w:r>
    </w:p>
    <w:p>
      <w:pPr>
        <w:pStyle w:val="ListBullet"/>
        <w:spacing w:after="80" w:line="288" w:lineRule="auto"/>
        <w:ind w:left="540" w:hanging="271"/>
      </w:pPr>
      <w:r>
        <w:rPr>
          <w:rFonts w:ascii="Calibri" w:hAnsi="Calibri"/>
          <w:b w:val="0"/>
          <w:i w:val="0"/>
          <w:sz w:val="22"/>
        </w:rPr>
        <w:t>Every qualification and scoring rule has examples and a documented exception path.</w:t>
      </w:r>
    </w:p>
    <w:p>
      <w:pPr>
        <w:pStyle w:val="ListBullet"/>
        <w:spacing w:after="80" w:line="288" w:lineRule="auto"/>
        <w:ind w:left="540" w:hanging="271"/>
      </w:pPr>
      <w:r>
        <w:rPr>
          <w:rFonts w:ascii="Calibri" w:hAnsi="Calibri"/>
          <w:b w:val="0"/>
          <w:i w:val="0"/>
          <w:sz w:val="22"/>
        </w:rPr>
        <w:t>Every generated factual claim is traceable to a source or labeled as a hypothesis.</w:t>
      </w:r>
    </w:p>
    <w:p>
      <w:pPr>
        <w:pStyle w:val="ListBullet"/>
        <w:spacing w:after="80" w:line="288" w:lineRule="auto"/>
        <w:ind w:left="540" w:hanging="271"/>
      </w:pPr>
      <w:r>
        <w:rPr>
          <w:rFonts w:ascii="Calibri" w:hAnsi="Calibri"/>
          <w:b w:val="0"/>
          <w:i w:val="0"/>
          <w:sz w:val="22"/>
        </w:rPr>
        <w:t>No external communication occurs without the approved checkpoint.</w:t>
      </w:r>
    </w:p>
    <w:p>
      <w:pPr>
        <w:pStyle w:val="ListBullet"/>
        <w:spacing w:after="80" w:line="288" w:lineRule="auto"/>
        <w:ind w:left="540" w:hanging="271"/>
      </w:pPr>
      <w:r>
        <w:rPr>
          <w:rFonts w:ascii="Calibri" w:hAnsi="Calibri"/>
          <w:b w:val="0"/>
          <w:i w:val="0"/>
          <w:sz w:val="22"/>
        </w:rPr>
        <w:t>HubSpot field mapping and attribution definitions are approved before automation writes.</w:t>
      </w:r>
    </w:p>
    <w:p>
      <w:pPr>
        <w:pStyle w:val="ListBullet"/>
        <w:spacing w:after="80" w:line="288" w:lineRule="auto"/>
        <w:ind w:left="540" w:hanging="271"/>
      </w:pPr>
      <w:r>
        <w:rPr>
          <w:rFonts w:ascii="Calibri" w:hAnsi="Calibri"/>
          <w:b w:val="0"/>
          <w:i w:val="0"/>
          <w:sz w:val="22"/>
        </w:rPr>
        <w:t>Three to five real-prospect tests are completed and reviewed.</w:t>
      </w:r>
    </w:p>
    <w:p>
      <w:pPr>
        <w:pStyle w:val="ListBullet"/>
        <w:spacing w:after="80" w:line="288" w:lineRule="auto"/>
        <w:ind w:left="540" w:hanging="271"/>
      </w:pPr>
      <w:r>
        <w:rPr>
          <w:rFonts w:ascii="Calibri" w:hAnsi="Calibri"/>
          <w:b w:val="0"/>
          <w:i w:val="0"/>
          <w:sz w:val="22"/>
        </w:rPr>
        <w:t>Baseline and pilot measures show whether the workflow saves time without lowering quality or trust.</w:t>
      </w:r>
    </w:p>
    <w:p>
      <w:pPr>
        <w:pStyle w:val="Heading1"/>
        <w:keepNext/>
      </w:pPr>
      <w:r>
        <w:t>Appendix A — Recommended HubSpot Attribution Fields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100" w:type="dxa"/>
              <w:start w:w="120" w:type="dxa"/>
              <w:bottom w:w="100" w:type="dxa"/>
              <w:end w:w="120" w:type="dxa"/>
            </w:tcMar>
            <w:shd w:fill="F4F6F9"/>
          </w:tcPr>
          <w:p>
            <w:pPr>
              <w:spacing w:after="0"/>
            </w:pPr>
            <w:r>
              <w:rPr>
                <w:rFonts w:ascii="Calibri" w:hAnsi="Calibri"/>
                <w:b/>
                <w:i w:val="0"/>
                <w:color w:val="0B2545"/>
                <w:sz w:val="22"/>
              </w:rPr>
              <w:t xml:space="preserve">Status: </w:t>
            </w:r>
            <w:r>
              <w:rPr>
                <w:rFonts w:ascii="Calibri" w:hAnsi="Calibri"/>
                <w:b w:val="0"/>
                <w:i w:val="0"/>
                <w:sz w:val="22"/>
              </w:rPr>
              <w:t>These fields came from the session plan and require validation against the current HubSpot schema before creation.</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3420"/>
        <w:gridCol w:w="5940"/>
      </w:tblGrid>
      <w:tr>
        <w:trPr>
          <w:tblHeader/>
        </w:trPr>
        <w:tc>
          <w:tcPr>
            <w:tcW w:type="dxa" w:w="342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Field</w:t>
            </w:r>
          </w:p>
        </w:tc>
        <w:tc>
          <w:tcPr>
            <w:tcW w:type="dxa" w:w="5940"/>
            <w:vAlign w:val="center"/>
            <w:tcMar>
              <w:top w:w="100" w:type="dxa"/>
              <w:start w:w="120" w:type="dxa"/>
              <w:bottom w:w="100" w:type="dxa"/>
              <w:end w:w="120" w:type="dxa"/>
            </w:tcMar>
            <w:shd w:fill="E8EEF5"/>
          </w:tcPr>
          <w:p>
            <w:pPr>
              <w:spacing w:before="0" w:after="0" w:line="259" w:lineRule="auto"/>
            </w:pPr>
            <w:r>
              <w:rPr>
                <w:rFonts w:ascii="Calibri" w:hAnsi="Calibri"/>
                <w:b/>
                <w:i w:val="0"/>
                <w:color w:val="0B2545"/>
                <w:sz w:val="19"/>
              </w:rPr>
              <w:t>Working Purpose</w:t>
            </w:r>
          </w:p>
        </w:tc>
      </w:tr>
      <w:tr>
        <w:tc>
          <w:tcPr>
            <w:tcW w:type="dxa" w:w="3420"/>
            <w:vAlign w:val="center"/>
            <w:tcMar>
              <w:top w:w="100" w:type="dxa"/>
              <w:start w:w="120" w:type="dxa"/>
              <w:bottom w:w="100" w:type="dxa"/>
              <w:end w:w="120" w:type="dxa"/>
            </w:tcMar>
          </w:tcPr>
          <w:p>
            <w:pPr>
              <w:spacing w:before="0" w:after="0" w:line="259" w:lineRule="auto"/>
            </w:pPr>
            <w:r>
              <w:rPr>
                <w:rFonts w:ascii="Calibri" w:hAnsi="Calibri"/>
                <w:b w:val="0"/>
                <w:i w:val="0"/>
                <w:sz w:val="19"/>
              </w:rPr>
              <w:t>Outreach Engine Sourced</w:t>
            </w:r>
          </w:p>
        </w:tc>
        <w:tc>
          <w:tcPr>
            <w:tcW w:type="dxa" w:w="5940"/>
            <w:vAlign w:val="center"/>
            <w:tcMar>
              <w:top w:w="100" w:type="dxa"/>
              <w:start w:w="120" w:type="dxa"/>
              <w:bottom w:w="100" w:type="dxa"/>
              <w:end w:w="120" w:type="dxa"/>
            </w:tcMar>
          </w:tcPr>
          <w:p>
            <w:pPr>
              <w:spacing w:before="0" w:after="0" w:line="259" w:lineRule="auto"/>
            </w:pPr>
            <w:r>
              <w:rPr>
                <w:rFonts w:ascii="Calibri" w:hAnsi="Calibri"/>
                <w:b w:val="0"/>
                <w:i w:val="0"/>
                <w:sz w:val="19"/>
              </w:rPr>
              <w:t>Yes / No / Assisted / Unknown classification</w:t>
            </w:r>
          </w:p>
        </w:tc>
      </w:tr>
      <w:tr>
        <w:tc>
          <w:tcPr>
            <w:tcW w:type="dxa" w:w="3420"/>
            <w:vAlign w:val="center"/>
            <w:tcMar>
              <w:top w:w="100" w:type="dxa"/>
              <w:start w:w="120" w:type="dxa"/>
              <w:bottom w:w="100" w:type="dxa"/>
              <w:end w:w="120" w:type="dxa"/>
            </w:tcMar>
          </w:tcPr>
          <w:p>
            <w:pPr>
              <w:spacing w:before="0" w:after="0" w:line="259" w:lineRule="auto"/>
            </w:pPr>
            <w:r>
              <w:rPr>
                <w:rFonts w:ascii="Calibri" w:hAnsi="Calibri"/>
                <w:b w:val="0"/>
                <w:i w:val="0"/>
                <w:sz w:val="19"/>
              </w:rPr>
              <w:t>Outreach Engine Assisted</w:t>
            </w:r>
          </w:p>
        </w:tc>
        <w:tc>
          <w:tcPr>
            <w:tcW w:type="dxa" w:w="5940"/>
            <w:vAlign w:val="center"/>
            <w:tcMar>
              <w:top w:w="100" w:type="dxa"/>
              <w:start w:w="120" w:type="dxa"/>
              <w:bottom w:w="100" w:type="dxa"/>
              <w:end w:w="120" w:type="dxa"/>
            </w:tcMar>
          </w:tcPr>
          <w:p>
            <w:pPr>
              <w:spacing w:before="0" w:after="0" w:line="259" w:lineRule="auto"/>
            </w:pPr>
            <w:r>
              <w:rPr>
                <w:rFonts w:ascii="Calibri" w:hAnsi="Calibri"/>
                <w:b w:val="0"/>
                <w:i w:val="0"/>
                <w:sz w:val="19"/>
              </w:rPr>
              <w:t>Records material AI support on an existing or human-sourced opportunity</w:t>
            </w:r>
          </w:p>
        </w:tc>
      </w:tr>
      <w:tr>
        <w:tc>
          <w:tcPr>
            <w:tcW w:type="dxa" w:w="3420"/>
            <w:vAlign w:val="center"/>
            <w:tcMar>
              <w:top w:w="100" w:type="dxa"/>
              <w:start w:w="120" w:type="dxa"/>
              <w:bottom w:w="100" w:type="dxa"/>
              <w:end w:w="120" w:type="dxa"/>
            </w:tcMar>
          </w:tcPr>
          <w:p>
            <w:pPr>
              <w:spacing w:before="0" w:after="0" w:line="259" w:lineRule="auto"/>
            </w:pPr>
            <w:r>
              <w:rPr>
                <w:rFonts w:ascii="Calibri" w:hAnsi="Calibri"/>
                <w:b w:val="0"/>
                <w:i w:val="0"/>
                <w:sz w:val="19"/>
              </w:rPr>
              <w:t>First AI Outreach Date</w:t>
            </w:r>
          </w:p>
        </w:tc>
        <w:tc>
          <w:tcPr>
            <w:tcW w:type="dxa" w:w="5940"/>
            <w:vAlign w:val="center"/>
            <w:tcMar>
              <w:top w:w="100" w:type="dxa"/>
              <w:start w:w="120" w:type="dxa"/>
              <w:bottom w:w="100" w:type="dxa"/>
              <w:end w:w="120" w:type="dxa"/>
            </w:tcMar>
          </w:tcPr>
          <w:p>
            <w:pPr>
              <w:spacing w:before="0" w:after="0" w:line="259" w:lineRule="auto"/>
            </w:pPr>
            <w:r>
              <w:rPr>
                <w:rFonts w:ascii="Calibri" w:hAnsi="Calibri"/>
                <w:b w:val="0"/>
                <w:i w:val="0"/>
                <w:sz w:val="19"/>
              </w:rPr>
              <w:t>Date of the first approved AI-assisted outreach</w:t>
            </w:r>
          </w:p>
        </w:tc>
      </w:tr>
      <w:tr>
        <w:tc>
          <w:tcPr>
            <w:tcW w:type="dxa" w:w="3420"/>
            <w:vAlign w:val="center"/>
            <w:tcMar>
              <w:top w:w="100" w:type="dxa"/>
              <w:start w:w="120" w:type="dxa"/>
              <w:bottom w:w="100" w:type="dxa"/>
              <w:end w:w="120" w:type="dxa"/>
            </w:tcMar>
          </w:tcPr>
          <w:p>
            <w:pPr>
              <w:spacing w:before="0" w:after="0" w:line="259" w:lineRule="auto"/>
            </w:pPr>
            <w:r>
              <w:rPr>
                <w:rFonts w:ascii="Calibri" w:hAnsi="Calibri"/>
                <w:b w:val="0"/>
                <w:i w:val="0"/>
                <w:sz w:val="19"/>
              </w:rPr>
              <w:t>First Affirmative Interest Date</w:t>
            </w:r>
          </w:p>
        </w:tc>
        <w:tc>
          <w:tcPr>
            <w:tcW w:type="dxa" w:w="5940"/>
            <w:vAlign w:val="center"/>
            <w:tcMar>
              <w:top w:w="100" w:type="dxa"/>
              <w:start w:w="120" w:type="dxa"/>
              <w:bottom w:w="100" w:type="dxa"/>
              <w:end w:w="120" w:type="dxa"/>
            </w:tcMar>
          </w:tcPr>
          <w:p>
            <w:pPr>
              <w:spacing w:before="0" w:after="0" w:line="259" w:lineRule="auto"/>
            </w:pPr>
            <w:r>
              <w:rPr>
                <w:rFonts w:ascii="Calibri" w:hAnsi="Calibri"/>
                <w:b w:val="0"/>
                <w:i w:val="0"/>
                <w:sz w:val="19"/>
              </w:rPr>
              <w:t>Date of the agreed qualifying response or action</w:t>
            </w:r>
          </w:p>
        </w:tc>
      </w:tr>
      <w:tr>
        <w:tc>
          <w:tcPr>
            <w:tcW w:type="dxa" w:w="3420"/>
            <w:vAlign w:val="center"/>
            <w:tcMar>
              <w:top w:w="100" w:type="dxa"/>
              <w:start w:w="120" w:type="dxa"/>
              <w:bottom w:w="100" w:type="dxa"/>
              <w:end w:w="120" w:type="dxa"/>
            </w:tcMar>
          </w:tcPr>
          <w:p>
            <w:pPr>
              <w:spacing w:before="0" w:after="0" w:line="259" w:lineRule="auto"/>
            </w:pPr>
            <w:r>
              <w:rPr>
                <w:rFonts w:ascii="Calibri" w:hAnsi="Calibri"/>
                <w:b w:val="0"/>
                <w:i w:val="0"/>
                <w:sz w:val="19"/>
              </w:rPr>
              <w:t>Affirmative Interest Source</w:t>
            </w:r>
          </w:p>
        </w:tc>
        <w:tc>
          <w:tcPr>
            <w:tcW w:type="dxa" w:w="5940"/>
            <w:vAlign w:val="center"/>
            <w:tcMar>
              <w:top w:w="100" w:type="dxa"/>
              <w:start w:w="120" w:type="dxa"/>
              <w:bottom w:w="100" w:type="dxa"/>
              <w:end w:w="120" w:type="dxa"/>
            </w:tcMar>
          </w:tcPr>
          <w:p>
            <w:pPr>
              <w:spacing w:before="0" w:after="0" w:line="259" w:lineRule="auto"/>
            </w:pPr>
            <w:r>
              <w:rPr>
                <w:rFonts w:ascii="Calibri" w:hAnsi="Calibri"/>
                <w:b w:val="0"/>
                <w:i w:val="0"/>
                <w:sz w:val="19"/>
              </w:rPr>
              <w:t>Email, LinkedIn, phone, meeting, referral, or other approved source</w:t>
            </w:r>
          </w:p>
        </w:tc>
      </w:tr>
      <w:tr>
        <w:tc>
          <w:tcPr>
            <w:tcW w:type="dxa" w:w="3420"/>
            <w:vAlign w:val="center"/>
            <w:tcMar>
              <w:top w:w="100" w:type="dxa"/>
              <w:start w:w="120" w:type="dxa"/>
              <w:bottom w:w="100" w:type="dxa"/>
              <w:end w:w="120" w:type="dxa"/>
            </w:tcMar>
          </w:tcPr>
          <w:p>
            <w:pPr>
              <w:spacing w:before="0" w:after="0" w:line="259" w:lineRule="auto"/>
            </w:pPr>
            <w:r>
              <w:rPr>
                <w:rFonts w:ascii="Calibri" w:hAnsi="Calibri"/>
                <w:b w:val="0"/>
                <w:i w:val="0"/>
                <w:sz w:val="19"/>
              </w:rPr>
              <w:t>Original Lead Source</w:t>
            </w:r>
          </w:p>
        </w:tc>
        <w:tc>
          <w:tcPr>
            <w:tcW w:type="dxa" w:w="5940"/>
            <w:vAlign w:val="center"/>
            <w:tcMar>
              <w:top w:w="100" w:type="dxa"/>
              <w:start w:w="120" w:type="dxa"/>
              <w:bottom w:w="100" w:type="dxa"/>
              <w:end w:w="120" w:type="dxa"/>
            </w:tcMar>
          </w:tcPr>
          <w:p>
            <w:pPr>
              <w:spacing w:before="0" w:after="0" w:line="259" w:lineRule="auto"/>
            </w:pPr>
            <w:r>
              <w:rPr>
                <w:rFonts w:ascii="Calibri" w:hAnsi="Calibri"/>
                <w:b w:val="0"/>
                <w:i w:val="0"/>
                <w:sz w:val="19"/>
              </w:rPr>
              <w:t>Preserves the original acquisition source</w:t>
            </w:r>
          </w:p>
        </w:tc>
      </w:tr>
      <w:tr>
        <w:tc>
          <w:tcPr>
            <w:tcW w:type="dxa" w:w="3420"/>
            <w:vAlign w:val="center"/>
            <w:tcMar>
              <w:top w:w="100" w:type="dxa"/>
              <w:start w:w="120" w:type="dxa"/>
              <w:bottom w:w="100" w:type="dxa"/>
              <w:end w:w="120" w:type="dxa"/>
            </w:tcMar>
          </w:tcPr>
          <w:p>
            <w:pPr>
              <w:spacing w:before="0" w:after="0" w:line="259" w:lineRule="auto"/>
            </w:pPr>
            <w:r>
              <w:rPr>
                <w:rFonts w:ascii="Calibri" w:hAnsi="Calibri"/>
                <w:b w:val="0"/>
                <w:i w:val="0"/>
                <w:sz w:val="19"/>
              </w:rPr>
              <w:t>AI Agent Used</w:t>
            </w:r>
          </w:p>
        </w:tc>
        <w:tc>
          <w:tcPr>
            <w:tcW w:type="dxa" w:w="5940"/>
            <w:vAlign w:val="center"/>
            <w:tcMar>
              <w:top w:w="100" w:type="dxa"/>
              <w:start w:w="120" w:type="dxa"/>
              <w:bottom w:w="100" w:type="dxa"/>
              <w:end w:w="120" w:type="dxa"/>
            </w:tcMar>
          </w:tcPr>
          <w:p>
            <w:pPr>
              <w:spacing w:before="0" w:after="0" w:line="259" w:lineRule="auto"/>
            </w:pPr>
            <w:r>
              <w:rPr>
                <w:rFonts w:ascii="Calibri" w:hAnsi="Calibri"/>
                <w:b w:val="0"/>
                <w:i w:val="0"/>
                <w:sz w:val="19"/>
              </w:rPr>
              <w:t>Records the role or workflow that contributed</w:t>
            </w:r>
          </w:p>
        </w:tc>
      </w:tr>
      <w:tr>
        <w:tc>
          <w:tcPr>
            <w:tcW w:type="dxa" w:w="3420"/>
            <w:vAlign w:val="center"/>
            <w:tcMar>
              <w:top w:w="100" w:type="dxa"/>
              <w:start w:w="120" w:type="dxa"/>
              <w:bottom w:w="100" w:type="dxa"/>
              <w:end w:w="120" w:type="dxa"/>
            </w:tcMar>
          </w:tcPr>
          <w:p>
            <w:pPr>
              <w:spacing w:before="0" w:after="0" w:line="259" w:lineRule="auto"/>
            </w:pPr>
            <w:r>
              <w:rPr>
                <w:rFonts w:ascii="Calibri" w:hAnsi="Calibri"/>
                <w:b w:val="0"/>
                <w:i w:val="0"/>
                <w:sz w:val="19"/>
              </w:rPr>
              <w:t>Qualified for Revenue Share</w:t>
            </w:r>
          </w:p>
        </w:tc>
        <w:tc>
          <w:tcPr>
            <w:tcW w:type="dxa" w:w="5940"/>
            <w:vAlign w:val="center"/>
            <w:tcMar>
              <w:top w:w="100" w:type="dxa"/>
              <w:start w:w="120" w:type="dxa"/>
              <w:bottom w:w="100" w:type="dxa"/>
              <w:end w:w="120" w:type="dxa"/>
            </w:tcMar>
          </w:tcPr>
          <w:p>
            <w:pPr>
              <w:spacing w:before="0" w:after="0" w:line="259" w:lineRule="auto"/>
            </w:pPr>
            <w:r>
              <w:rPr>
                <w:rFonts w:ascii="Calibri" w:hAnsi="Calibri"/>
                <w:b w:val="0"/>
                <w:i w:val="0"/>
                <w:sz w:val="19"/>
              </w:rPr>
              <w:t>Approval-controlled commercial determination</w:t>
            </w:r>
          </w:p>
        </w:tc>
      </w:tr>
    </w:tbl>
    <w:p>
      <w:pPr>
        <w:spacing w:after="0"/>
      </w:pPr>
    </w:p>
    <w:p>
      <w:pPr>
        <w:pStyle w:val="Heading1"/>
        <w:keepNext/>
      </w:pPr>
      <w:r>
        <w:t>Appendix B — Consolidation Notes</w:t>
      </w:r>
    </w:p>
    <w:p>
      <w:r>
        <w:t>The questionnaires overlap: retain the longer version as the master bank and the shorter version as the interviewer guide. The 120-minute plan proposes structure, but it is not proof of Jeff’s actual process. This brief preserves all unknowns as open decisions.</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36E"/>
        <w:sz w:val="17"/>
      </w:rPr>
      <w:t>Working discovery brief  •  Updated August 16,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A636E"/>
        <w:sz w:val="17"/>
      </w:rPr>
      <w:t>AI GROWTH PLAN  |  JEFF OUTREACH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Jeff Outreach Engine Consolidated Discovery Brief</dc:title>
  <dc:subject>Discovery consolidation and follow-up submission guide</dc:subject>
  <dc:creator>AI Growth Plan</dc:creator>
  <cp:keywords>Jeff Outreach Engine, discovery, HubSpot, prospecting, AI agents, approval</cp:keywords>
  <dc:description>generated by python-docx</dc:description>
  <cp:lastModifiedBy/>
  <cp:revision>1</cp:revision>
  <dcterms:created xsi:type="dcterms:W3CDTF">2013-12-23T23:15:00Z</dcterms:created>
  <dcterms:modified xsi:type="dcterms:W3CDTF">2013-12-23T23:15:00Z</dcterms:modified>
  <cp:category/>
</cp:coreProperties>
</file>