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ASANCHA</w:t>
      </w:r>
    </w:p>
    <w:p>
      <w:pPr>
        <w:jc w:val="center"/>
      </w:pPr>
      <w:r>
        <w:rPr>
          <w:b/>
          <w:sz w:val="36"/>
        </w:rPr>
        <w:t>API Partners Page – UX &amp; Content Improvement Brief</w:t>
      </w:r>
    </w:p>
    <w:p>
      <w:pPr>
        <w:jc w:val="center"/>
      </w:pPr>
      <w:r>
        <w:rPr>
          <w:i/>
        </w:rPr>
        <w:t>Developer implementation brief for /api-partners | Reviewed 2 October 2026</w:t>
      </w:r>
    </w:p>
    <w:p>
      <w:pPr>
        <w:pStyle w:val="Heading1"/>
      </w:pPr>
      <w:r>
        <w:t>1. Executive Review</w:t>
      </w:r>
    </w:p>
    <w:p>
      <w:r>
        <w:t>The current API Partners page is technically strong and unusually clear about scoped access, App-level separation, key management, webhooks and approval boundaries. However, it currently reads more like API governance/security documentation than a partner acquisition page. A prospective PropTech or enterprise partner should understand the commercial/product value before being asked to absorb key rotation, webhook security and a ten-step activation process.</w:t>
      </w:r>
    </w:p>
    <w:p>
      <w:r>
        <w:rPr>
          <w:b/>
        </w:rPr>
        <w:t xml:space="preserve">Primary recommendation: </w:t>
      </w:r>
      <w:r>
        <w:t>lead with what partners can build with Asancha, demonstrate the integration model visually, simplify the public journey, and move detailed security/credential guidance into developer documentation.</w:t>
      </w:r>
    </w:p>
    <w:p>
      <w:pPr>
        <w:pStyle w:val="Heading1"/>
      </w:pPr>
      <w:r>
        <w:t>2. What Is Already Strong – Keep</w:t>
      </w:r>
    </w:p>
    <w:p>
      <w:pPr>
        <w:pStyle w:val="ListBullet"/>
      </w:pPr>
      <w:r>
        <w:t>The hero clearly states that partners can connect products, platforms, websites or internal systems to selected Asancha property sourcing and property intelligence capabilities.</w:t>
      </w:r>
    </w:p>
    <w:p>
      <w:pPr>
        <w:pStyle w:val="ListBullet"/>
      </w:pPr>
      <w:r>
        <w:t>The distinction between an approved organisation and an API App is excellent and should remain.</w:t>
      </w:r>
    </w:p>
    <w:p>
      <w:pPr>
        <w:pStyle w:val="ListBullet"/>
      </w:pPr>
      <w:r>
        <w:t>App-based separation, scoped permissions and per-App status/usage are strong architectural concepts.</w:t>
      </w:r>
    </w:p>
    <w:p>
      <w:pPr>
        <w:pStyle w:val="ListBullet"/>
      </w:pPr>
      <w:r>
        <w:t>The page correctly states that API access does not mean access to everything.</w:t>
      </w:r>
    </w:p>
    <w:p>
      <w:pPr>
        <w:pStyle w:val="ListBullet"/>
      </w:pPr>
      <w:r>
        <w:t>Private owner, investor, tenant, document, payment and internal-review data are explicitly protected.</w:t>
      </w:r>
    </w:p>
    <w:p>
      <w:pPr>
        <w:pStyle w:val="ListBullet"/>
      </w:pPr>
      <w:r>
        <w:t>Key creation/rotation/revocation and separate environments are sensible capabilities.</w:t>
      </w:r>
    </w:p>
    <w:p>
      <w:pPr>
        <w:pStyle w:val="ListBullet"/>
      </w:pPr>
      <w:r>
        <w:t>Webhook support makes the API proposition more useful for event-driven integrations.</w:t>
      </w:r>
    </w:p>
    <w:p>
      <w:pPr>
        <w:pStyle w:val="ListBullet"/>
      </w:pPr>
      <w:r>
        <w:t>The application boundary is very clear: applying does not create an App, issue a key, approve scopes, activate billing or grant production access.</w:t>
      </w:r>
    </w:p>
    <w:p>
      <w:pPr>
        <w:pStyle w:val="ListBullet"/>
      </w:pPr>
      <w:r>
        <w:t>The FAQ explains App vs organisation and minimum approved scopes clearly.</w:t>
      </w:r>
    </w:p>
    <w:p>
      <w:pPr>
        <w:pStyle w:val="Heading1"/>
      </w:pPr>
      <w:r>
        <w:t>3. Main UX Problems to Fix</w:t>
      </w:r>
    </w:p>
    <w:tbl>
      <w:tblPr>
        <w:tblStyle w:val="LightShading-Accent1"/>
        <w:tblW w:type="auto" w:w="0"/>
        <w:tblLook w:firstColumn="1" w:firstRow="1" w:lastColumn="0" w:lastRow="0" w:noHBand="0" w:noVBand="1" w:val="04A0"/>
      </w:tblPr>
      <w:tblGrid>
        <w:gridCol w:w="3389"/>
        <w:gridCol w:w="3389"/>
        <w:gridCol w:w="3389"/>
      </w:tblGrid>
      <w:tr>
        <w:tc>
          <w:tcPr>
            <w:tcW w:type="dxa" w:w="3389"/>
            <w:shd w:fill="17365D"/>
          </w:tcPr>
          <w:p>
            <w:r>
              <w:rPr>
                <w:b/>
                <w:color w:val="FFFFFF"/>
              </w:rPr>
              <w:t>Issue</w:t>
            </w:r>
          </w:p>
        </w:tc>
        <w:tc>
          <w:tcPr>
            <w:tcW w:type="dxa" w:w="3389"/>
            <w:shd w:fill="17365D"/>
          </w:tcPr>
          <w:p>
            <w:r>
              <w:rPr>
                <w:b/>
                <w:color w:val="FFFFFF"/>
              </w:rPr>
              <w:t>Why it matters</w:t>
            </w:r>
          </w:p>
        </w:tc>
        <w:tc>
          <w:tcPr>
            <w:tcW w:type="dxa" w:w="3389"/>
            <w:shd w:fill="17365D"/>
          </w:tcPr>
          <w:p>
            <w:r>
              <w:rPr>
                <w:b/>
                <w:color w:val="FFFFFF"/>
              </w:rPr>
              <w:t>Required change</w:t>
            </w:r>
          </w:p>
        </w:tc>
      </w:tr>
      <w:tr>
        <w:tc>
          <w:tcPr>
            <w:tcW w:type="dxa" w:w="3389"/>
          </w:tcPr>
          <w:p>
            <w:r>
              <w:t>Value is less visible than governance</w:t>
            </w:r>
          </w:p>
        </w:tc>
        <w:tc>
          <w:tcPr>
            <w:tcW w:type="dxa" w:w="3389"/>
          </w:tcPr>
          <w:p>
            <w:r>
              <w:t>Prospective partners first need to know what they can build</w:t>
            </w:r>
          </w:p>
        </w:tc>
        <w:tc>
          <w:tcPr>
            <w:tcW w:type="dxa" w:w="3389"/>
          </w:tcPr>
          <w:p>
            <w:r>
              <w:t>Add a capabilities/use-case section directly after the hero.</w:t>
            </w:r>
          </w:p>
        </w:tc>
      </w:tr>
      <w:tr>
        <w:tc>
          <w:tcPr>
            <w:tcW w:type="dxa" w:w="3389"/>
          </w:tcPr>
          <w:p>
            <w:r>
              <w:t>The 10-step route is too operational for a marketing page</w:t>
            </w:r>
          </w:p>
        </w:tc>
        <w:tc>
          <w:tcPr>
            <w:tcW w:type="dxa" w:w="3389"/>
          </w:tcPr>
          <w:p>
            <w:r>
              <w:t>It makes integration look bureaucratic before value is established</w:t>
            </w:r>
          </w:p>
        </w:tc>
        <w:tc>
          <w:tcPr>
            <w:tcW w:type="dxa" w:w="3389"/>
          </w:tcPr>
          <w:p>
            <w:r>
              <w:t>Reduce the public journey to four stages; keep the detailed steps in onboarding/docs.</w:t>
            </w:r>
          </w:p>
        </w:tc>
      </w:tr>
      <w:tr>
        <w:tc>
          <w:tcPr>
            <w:tcW w:type="dxa" w:w="3389"/>
          </w:tcPr>
          <w:p>
            <w:r>
              <w:t>Security content is too prominent</w:t>
            </w:r>
          </w:p>
        </w:tc>
        <w:tc>
          <w:tcPr>
            <w:tcW w:type="dxa" w:w="3389"/>
          </w:tcPr>
          <w:p>
            <w:r>
              <w:t>Key-secret rules are important but are developer-documentation material</w:t>
            </w:r>
          </w:p>
        </w:tc>
        <w:tc>
          <w:tcPr>
            <w:tcW w:type="dxa" w:w="3389"/>
          </w:tcPr>
          <w:p>
            <w:r>
              <w:t>Summarise security publicly and link to technical docs.</w:t>
            </w:r>
          </w:p>
        </w:tc>
      </w:tr>
      <w:tr>
        <w:tc>
          <w:tcPr>
            <w:tcW w:type="dxa" w:w="3389"/>
          </w:tcPr>
          <w:p>
            <w:r>
              <w:t>No visual API workflow</w:t>
            </w:r>
          </w:p>
        </w:tc>
        <w:tc>
          <w:tcPr>
            <w:tcW w:type="dxa" w:w="3389"/>
          </w:tcPr>
          <w:p>
            <w:r>
              <w:t>Partners must mentally reconstruct how their App, Asancha and webhooks interact</w:t>
            </w:r>
          </w:p>
        </w:tc>
        <w:tc>
          <w:tcPr>
            <w:tcW w:type="dxa" w:w="3389"/>
          </w:tcPr>
          <w:p>
            <w:r>
              <w:t>Add an integration architecture diagram.</w:t>
            </w:r>
          </w:p>
        </w:tc>
      </w:tr>
      <w:tr>
        <w:tc>
          <w:tcPr>
            <w:tcW w:type="dxa" w:w="3389"/>
          </w:tcPr>
          <w:p>
            <w:r>
              <w:t>No example API capability/use case</w:t>
            </w:r>
          </w:p>
        </w:tc>
        <w:tc>
          <w:tcPr>
            <w:tcW w:type="dxa" w:w="3389"/>
          </w:tcPr>
          <w:p>
            <w:r>
              <w:t>'Selected property intelligence' remains abstract</w:t>
            </w:r>
          </w:p>
        </w:tc>
        <w:tc>
          <w:tcPr>
            <w:tcW w:type="dxa" w:w="3389"/>
          </w:tcPr>
          <w:p>
            <w:r>
              <w:t>Show concrete capability families without promising unbuilt endpoints.</w:t>
            </w:r>
          </w:p>
        </w:tc>
      </w:tr>
      <w:tr>
        <w:tc>
          <w:tcPr>
            <w:tcW w:type="dxa" w:w="3389"/>
          </w:tcPr>
          <w:p>
            <w:r>
              <w:t>No developer experience preview</w:t>
            </w:r>
          </w:p>
        </w:tc>
        <w:tc>
          <w:tcPr>
            <w:tcW w:type="dxa" w:w="3389"/>
          </w:tcPr>
          <w:p>
            <w:r>
              <w:t>Technical buyers expect docs, sandbox/test, auth and sample request concepts</w:t>
            </w:r>
          </w:p>
        </w:tc>
        <w:tc>
          <w:tcPr>
            <w:tcW w:type="dxa" w:w="3389"/>
          </w:tcPr>
          <w:p>
            <w:r>
              <w:t>Add a Developer Experience section tied only to available/approved functionality.</w:t>
            </w:r>
          </w:p>
        </w:tc>
      </w:tr>
      <w:tr>
        <w:tc>
          <w:tcPr>
            <w:tcW w:type="dxa" w:w="3389"/>
          </w:tcPr>
          <w:p>
            <w:r>
              <w:t>Pricing/subscription appears as a control but value/plan context is absent</w:t>
            </w:r>
          </w:p>
        </w:tc>
        <w:tc>
          <w:tcPr>
            <w:tcW w:type="dxa" w:w="3389"/>
          </w:tcPr>
          <w:p>
            <w:r>
              <w:t>Commercial expectations are unclear</w:t>
            </w:r>
          </w:p>
        </w:tc>
        <w:tc>
          <w:tcPr>
            <w:tcW w:type="dxa" w:w="3389"/>
          </w:tcPr>
          <w:p>
            <w:r>
              <w:t>Explain that commercial terms depend on approved App/access model; link to pricing where appropriate.</w:t>
            </w:r>
          </w:p>
        </w:tc>
      </w:tr>
    </w:tbl>
    <w:p>
      <w:pPr>
        <w:pStyle w:val="Heading1"/>
      </w:pPr>
      <w:r>
        <w:t>4. Recommended Hero</w:t>
      </w:r>
    </w:p>
    <w:tbl>
      <w:tblPr>
        <w:tblW w:type="auto" w:w="0"/>
        <w:tblLook w:firstColumn="1" w:firstRow="1" w:lastColumn="0" w:lastRow="0" w:noHBand="0" w:noVBand="1" w:val="04A0"/>
      </w:tblPr>
      <w:tblGrid>
        <w:gridCol w:w="10166"/>
      </w:tblGrid>
      <w:tr>
        <w:tc>
          <w:tcPr>
            <w:tcW w:type="dxa" w:w="10166"/>
            <w:shd w:fill="EAF1F8"/>
          </w:tcPr>
          <w:p>
            <w:pPr>
              <w:jc w:val="center"/>
            </w:pPr>
            <w:r>
              <w:rPr>
                <w:b/>
                <w:color w:val="2F5597"/>
              </w:rPr>
              <w:t>ASANCHA API PARTNERS</w:t>
            </w:r>
          </w:p>
          <w:p>
            <w:pPr>
              <w:jc w:val="center"/>
            </w:pPr>
            <w:r>
              <w:rPr>
                <w:b/>
                <w:sz w:val="36"/>
              </w:rPr>
              <w:t>Bring Asancha Property Sourcing &amp; Intelligence into Your Product</w:t>
            </w:r>
          </w:p>
          <w:p>
            <w:pPr>
              <w:jc w:val="center"/>
            </w:pPr>
            <w:r>
              <w:t>Connect approved Apps and systems to selected Asancha property capabilities through scoped APIs, secure credentials and event-driven integrations.</w:t>
            </w:r>
          </w:p>
          <w:p>
            <w:pPr>
              <w:jc w:val="center"/>
            </w:pPr>
            <w:r>
              <w:rPr>
                <w:b/>
                <w:color w:val="2F5597"/>
              </w:rPr>
              <w:t>[ Apply for API Access ]     [ Explore API Capabilities ]</w:t>
            </w:r>
          </w:p>
          <w:p>
            <w:pPr>
              <w:jc w:val="center"/>
            </w:pPr>
            <w:r>
              <w:rPr>
                <w:i/>
              </w:rPr>
              <w:t>Scoped Access  ·  App-Level Controls  ·  Usage Monitoring  ·  Webhooks</w:t>
            </w:r>
          </w:p>
        </w:tc>
      </w:tr>
    </w:tbl>
    <w:p>
      <w:r>
        <w:t>The current 'Bring property intelligence into your App' headline is good, but it underplays Asancha's core property-sourcing capability. The revised wording keeps intelligence while reconnecting the API proposition to the main Asancha platform identity.</w:t>
      </w:r>
    </w:p>
    <w:p>
      <w:pPr>
        <w:pStyle w:val="Heading1"/>
      </w:pPr>
      <w:r>
        <w:t>5. Immediately Show What Partners Can Build</w:t>
      </w:r>
    </w:p>
    <w:p>
      <w:r>
        <w:t>Recommended heading: Build Property Features Without Recreating the Whole Workflow</w:t>
      </w:r>
    </w:p>
    <w:p>
      <w:r>
        <w:t>The current page says this, but the benefit should be demonstrated. Present approved capability families as visual cards. The exact cards must reflect APIs that actually exist or are committed for the relevant release.</w:t>
      </w:r>
    </w:p>
    <w:p>
      <w:r>
        <w:rPr>
          <w:b/>
        </w:rPr>
        <w:t xml:space="preserve">Property Discovery: </w:t>
      </w:r>
      <w:r>
        <w:t>Use approved property/listing data to support property discovery experiences.</w:t>
      </w:r>
    </w:p>
    <w:p>
      <w:r>
        <w:rPr>
          <w:b/>
        </w:rPr>
        <w:t xml:space="preserve">Property Intelligence: </w:t>
      </w:r>
      <w:r>
        <w:t>Use approved calculations, indicators or intelligence outputs where exposed through the API.</w:t>
      </w:r>
    </w:p>
    <w:p>
      <w:r>
        <w:rPr>
          <w:b/>
        </w:rPr>
        <w:t xml:space="preserve">Recommendations / Matching: </w:t>
      </w:r>
      <w:r>
        <w:t>Receive approved recommendation availability or matching-related outputs where the API supports them.</w:t>
      </w:r>
    </w:p>
    <w:p>
      <w:r>
        <w:rPr>
          <w:b/>
        </w:rPr>
        <w:t xml:space="preserve">Property &amp; Listing Events: </w:t>
      </w:r>
      <w:r>
        <w:t>React to approved property/listing changes through webhooks.</w:t>
      </w:r>
    </w:p>
    <w:p>
      <w:r>
        <w:rPr>
          <w:b/>
        </w:rPr>
        <w:t xml:space="preserve">App &amp; Subscription Status: </w:t>
      </w:r>
      <w:r>
        <w:t>Manage relevant App/access status and subscription-aware integration states.</w:t>
      </w:r>
    </w:p>
    <w:p>
      <w:r>
        <w:rPr>
          <w:b/>
        </w:rPr>
        <w:t xml:space="preserve">Workflow Integration: </w:t>
      </w:r>
      <w:r>
        <w:t>Connect selected Asancha sourcing capabilities into an approved external or internal property workflow.</w:t>
      </w:r>
    </w:p>
    <w:p>
      <w:r>
        <w:t>Do not advertise an endpoint/capability merely because it would be desirable. Public capability cards must map to implemented or formally approved API scope.</w:t>
      </w:r>
    </w:p>
    <w:p>
      <w:pPr>
        <w:pStyle w:val="Heading1"/>
      </w:pPr>
      <w:r>
        <w:t>6. Add a Simple Integration Architecture Visual</w:t>
      </w:r>
    </w:p>
    <w:tbl>
      <w:tblPr>
        <w:tblStyle w:val="LightShading-Accent1"/>
        <w:tblW w:type="auto" w:w="0"/>
        <w:tblLook w:firstColumn="1" w:firstRow="1" w:lastColumn="0" w:lastRow="0" w:noHBand="0" w:noVBand="1" w:val="04A0"/>
      </w:tblPr>
      <w:tblGrid>
        <w:gridCol w:w="3389"/>
        <w:gridCol w:w="3389"/>
        <w:gridCol w:w="3389"/>
      </w:tblGrid>
      <w:tr>
        <w:tc>
          <w:tcPr>
            <w:tcW w:type="dxa" w:w="3389"/>
            <w:shd w:fill="17365D"/>
          </w:tcPr>
          <w:p>
            <w:r>
              <w:rPr>
                <w:b/>
                <w:color w:val="FFFFFF"/>
              </w:rPr>
              <w:t>Partner App</w:t>
            </w:r>
          </w:p>
        </w:tc>
        <w:tc>
          <w:tcPr>
            <w:tcW w:type="dxa" w:w="3389"/>
            <w:shd w:fill="17365D"/>
          </w:tcPr>
          <w:p>
            <w:r>
              <w:rPr>
                <w:b/>
                <w:color w:val="FFFFFF"/>
              </w:rPr>
              <w:t>Asancha API Layer</w:t>
            </w:r>
          </w:p>
        </w:tc>
        <w:tc>
          <w:tcPr>
            <w:tcW w:type="dxa" w:w="3389"/>
            <w:shd w:fill="17365D"/>
          </w:tcPr>
          <w:p>
            <w:r>
              <w:rPr>
                <w:b/>
                <w:color w:val="FFFFFF"/>
              </w:rPr>
              <w:t>Asancha Platform</w:t>
            </w:r>
          </w:p>
        </w:tc>
      </w:tr>
      <w:tr>
        <w:tc>
          <w:tcPr>
            <w:tcW w:type="dxa" w:w="3389"/>
          </w:tcPr>
          <w:p>
            <w:r>
              <w:t>Website / PropTech / Investor platform / Property system / Enterprise application</w:t>
            </w:r>
          </w:p>
        </w:tc>
        <w:tc>
          <w:tcPr>
            <w:tcW w:type="dxa" w:w="3389"/>
          </w:tcPr>
          <w:p>
            <w:r>
              <w:t>Scoped API key → approved endpoints/scopes</w:t>
              <w:br/>
              <w:br/>
              <w:t>Webhooks ← signed approved events</w:t>
            </w:r>
          </w:p>
        </w:tc>
        <w:tc>
          <w:tcPr>
            <w:tcW w:type="dxa" w:w="3389"/>
          </w:tcPr>
          <w:p>
            <w:r>
              <w:t>Approved property sourcing &amp; intelligence capabilities</w:t>
              <w:br/>
              <w:br/>
              <w:t>Protected platform data remains access-controlled</w:t>
            </w:r>
          </w:p>
        </w:tc>
      </w:tr>
    </w:tbl>
    <w:p>
      <w:r>
        <w:t>This diagram should make the operating model understandable in seconds: the partner's approved App authenticates server-side, receives only approved scopes, and can receive signed webhook events where enabled.</w:t>
      </w:r>
    </w:p>
    <w:p>
      <w:pPr>
        <w:pStyle w:val="Heading1"/>
      </w:pPr>
      <w:r>
        <w:t>7. Replace the 10-Step Public Journey with Four Stages</w:t>
      </w:r>
    </w:p>
    <w:p>
      <w:r>
        <w:rPr>
          <w:b/>
        </w:rPr>
        <w:t>01 – Apply</w:t>
      </w:r>
      <w:r>
        <w:br/>
        <w:t>Tell Asancha about your organisation, proposed App, use case, expected usage, requested capabilities and security approach.</w:t>
      </w:r>
    </w:p>
    <w:p>
      <w:r>
        <w:rPr>
          <w:b/>
        </w:rPr>
        <w:t>02 – Review &amp; Approve</w:t>
      </w:r>
      <w:r>
        <w:br/>
        <w:t>Asancha reviews the organisation, App purpose, requested scopes and applicable commercial/policy requirements.</w:t>
      </w:r>
    </w:p>
    <w:p>
      <w:r>
        <w:rPr>
          <w:b/>
        </w:rPr>
        <w:t>03 – Configure &amp; Test</w:t>
      </w:r>
      <w:r>
        <w:br/>
        <w:t>For an approved App, accept required policies, activate applicable subscription/access, create credentials, review documentation and configure/test integrations.</w:t>
      </w:r>
    </w:p>
    <w:p>
      <w:r>
        <w:rPr>
          <w:b/>
        </w:rPr>
        <w:t>04 – Launch &amp; Monitor</w:t>
      </w:r>
      <w:r>
        <w:br/>
        <w:t>Move an eligible App into the approved environment and monitor usage, credentials, webhooks and App status.</w:t>
      </w:r>
    </w:p>
    <w:p>
      <w:r>
        <w:t>The current ten-step sequence is useful operationally and can remain in the Partner Workspace/onboarding documentation. It is too granular for the primary marketing page.</w:t>
      </w:r>
    </w:p>
    <w:p>
      <w:pPr>
        <w:pStyle w:val="Heading1"/>
      </w:pPr>
      <w:r>
        <w:t>8. Add a Developer Experience Preview</w:t>
      </w:r>
    </w:p>
    <w:p>
      <w:r>
        <w:t>Technical decision-makers need confidence that the integration experience is practical. Show a compact preview rather than a long security lecture.</w:t>
      </w:r>
    </w:p>
    <w:tbl>
      <w:tblPr>
        <w:tblStyle w:val="LightShading-Accent1"/>
        <w:tblW w:type="auto" w:w="0"/>
        <w:tblLook w:firstColumn="1" w:firstRow="1" w:lastColumn="0" w:lastRow="0" w:noHBand="0" w:noVBand="1" w:val="04A0"/>
      </w:tblPr>
      <w:tblGrid>
        <w:gridCol w:w="5083"/>
        <w:gridCol w:w="5083"/>
      </w:tblGrid>
      <w:tr>
        <w:tc>
          <w:tcPr>
            <w:tcW w:type="dxa" w:w="5083"/>
            <w:shd w:fill="17365D"/>
          </w:tcPr>
          <w:p>
            <w:r>
              <w:rPr>
                <w:b/>
                <w:color w:val="FFFFFF"/>
              </w:rPr>
              <w:t>Developer experience area</w:t>
            </w:r>
          </w:p>
        </w:tc>
        <w:tc>
          <w:tcPr>
            <w:tcW w:type="dxa" w:w="5083"/>
            <w:shd w:fill="17365D"/>
          </w:tcPr>
          <w:p>
            <w:r>
              <w:rPr>
                <w:b/>
                <w:color w:val="FFFFFF"/>
              </w:rPr>
              <w:t>What the page should communicate</w:t>
            </w:r>
          </w:p>
        </w:tc>
      </w:tr>
      <w:tr>
        <w:tc>
          <w:tcPr>
            <w:tcW w:type="dxa" w:w="5083"/>
          </w:tcPr>
          <w:p>
            <w:r>
              <w:t>Authentication</w:t>
            </w:r>
          </w:p>
        </w:tc>
        <w:tc>
          <w:tcPr>
            <w:tcW w:type="dxa" w:w="5083"/>
          </w:tcPr>
          <w:p>
            <w:r>
              <w:t>Server-side credentials for approved Apps; secret displayed securely according to the implemented key flow.</w:t>
            </w:r>
          </w:p>
        </w:tc>
      </w:tr>
      <w:tr>
        <w:tc>
          <w:tcPr>
            <w:tcW w:type="dxa" w:w="5083"/>
          </w:tcPr>
          <w:p>
            <w:r>
              <w:t>Scopes</w:t>
            </w:r>
          </w:p>
        </w:tc>
        <w:tc>
          <w:tcPr>
            <w:tcW w:type="dxa" w:w="5083"/>
          </w:tcPr>
          <w:p>
            <w:r>
              <w:t>Each App receives only approved permissions required for its authorised use case.</w:t>
            </w:r>
          </w:p>
        </w:tc>
      </w:tr>
      <w:tr>
        <w:tc>
          <w:tcPr>
            <w:tcW w:type="dxa" w:w="5083"/>
          </w:tcPr>
          <w:p>
            <w:r>
              <w:t>Environments</w:t>
            </w:r>
          </w:p>
        </w:tc>
        <w:tc>
          <w:tcPr>
            <w:tcW w:type="dxa" w:w="5083"/>
          </w:tcPr>
          <w:p>
            <w:r>
              <w:t>Separate App/environment handling where supported.</w:t>
            </w:r>
          </w:p>
        </w:tc>
      </w:tr>
      <w:tr>
        <w:tc>
          <w:tcPr>
            <w:tcW w:type="dxa" w:w="5083"/>
          </w:tcPr>
          <w:p>
            <w:r>
              <w:t>Documentation</w:t>
            </w:r>
          </w:p>
        </w:tc>
        <w:tc>
          <w:tcPr>
            <w:tcW w:type="dxa" w:w="5083"/>
          </w:tcPr>
          <w:p>
            <w:r>
              <w:t>Endpoint, authentication, error and webhook guidance available to approved partners.</w:t>
            </w:r>
          </w:p>
        </w:tc>
      </w:tr>
      <w:tr>
        <w:tc>
          <w:tcPr>
            <w:tcW w:type="dxa" w:w="5083"/>
          </w:tcPr>
          <w:p>
            <w:r>
              <w:t>Webhooks</w:t>
            </w:r>
          </w:p>
        </w:tc>
        <w:tc>
          <w:tcPr>
            <w:tcW w:type="dxa" w:w="5083"/>
          </w:tcPr>
          <w:p>
            <w:r>
              <w:t>Signed HTTPS event delivery, retry/delivery visibility where supported.</w:t>
            </w:r>
          </w:p>
        </w:tc>
      </w:tr>
      <w:tr>
        <w:tc>
          <w:tcPr>
            <w:tcW w:type="dxa" w:w="5083"/>
          </w:tcPr>
          <w:p>
            <w:r>
              <w:t>Monitoring</w:t>
            </w:r>
          </w:p>
        </w:tc>
        <w:tc>
          <w:tcPr>
            <w:tcW w:type="dxa" w:w="5083"/>
          </w:tcPr>
          <w:p>
            <w:r>
              <w:t>App-level usage/key/status visibility where supported.</w:t>
            </w:r>
          </w:p>
        </w:tc>
      </w:tr>
    </w:tbl>
    <w:p>
      <w:pPr>
        <w:pStyle w:val="Heading1"/>
      </w:pPr>
      <w:r>
        <w:t>9. Move Detailed Key Security into Documentation</w:t>
      </w:r>
    </w:p>
    <w:p>
      <w:r>
        <w:t>The current page gives detailed instructions such as never placing secrets in frontend code, never committing them to source control, safe key-prefix display and server-side communication. These are good rules, but most should live in API documentation/security guidance.</w:t>
      </w:r>
    </w:p>
    <w:p>
      <w:r>
        <w:t>On the marketing page, reduce this to:</w:t>
      </w:r>
    </w:p>
    <w:p>
      <w:pPr>
        <w:jc w:val="center"/>
      </w:pPr>
      <w:r>
        <w:rPr>
          <w:b/>
          <w:color w:val="2F5597"/>
        </w:rPr>
        <w:t>Secure by design: scoped credentials, controlled environments, key rotation/revocation and monitored App access.</w:t>
      </w:r>
    </w:p>
    <w:p>
      <w:pPr>
        <w:pStyle w:val="Heading1"/>
      </w:pPr>
      <w:r>
        <w:t>10. Keep Webhooks – Make the Benefit Clearer</w:t>
      </w:r>
    </w:p>
    <w:p>
      <w:r>
        <w:t>Recommended heading: Keep Your App Updated Without Constant Polling</w:t>
      </w:r>
    </w:p>
    <w:p>
      <w:pPr>
        <w:pStyle w:val="ListBullet"/>
      </w:pPr>
      <w:r>
        <w:t>Explain the business benefit before the mechanics.</w:t>
      </w:r>
    </w:p>
    <w:p>
      <w:pPr>
        <w:pStyle w:val="ListBullet"/>
      </w:pPr>
      <w:r>
        <w:t>Then show supported event families such as approved property/listing changes, recommendation availability, subscription/payment status and App status where actually exposed.</w:t>
      </w:r>
    </w:p>
    <w:p>
      <w:pPr>
        <w:pStyle w:val="ListBullet"/>
      </w:pPr>
      <w:r>
        <w:t>Keep HTTPS/signature verification in technical documentation or a compact security note.</w:t>
      </w:r>
    </w:p>
    <w:p>
      <w:pPr>
        <w:pStyle w:val="ListBullet"/>
      </w:pPr>
      <w:r>
        <w:t>Do not imply that webhook availability grants access to protected data outside the App's approved scopes.</w:t>
      </w:r>
    </w:p>
    <w:p>
      <w:pPr>
        <w:pStyle w:val="Heading1"/>
      </w:pPr>
      <w:r>
        <w:t>11. Strengthen the Partner Use-Case Section</w:t>
      </w:r>
    </w:p>
    <w:p>
      <w:r>
        <w:t>The current page lists partner types. Turn them into short use-case cards:</w:t>
      </w:r>
    </w:p>
    <w:p>
      <w:r>
        <w:rPr>
          <w:b/>
        </w:rPr>
        <w:t xml:space="preserve">PropTech Platforms: </w:t>
      </w:r>
      <w:r>
        <w:t>Embed approved Asancha property sourcing or intelligence capabilities into an existing property product.</w:t>
      </w:r>
    </w:p>
    <w:p>
      <w:r>
        <w:rPr>
          <w:b/>
        </w:rPr>
        <w:t xml:space="preserve">Property Sourcing Systems: </w:t>
      </w:r>
      <w:r>
        <w:t>Connect selected sourcing workflows or property information to an approved external sourcing system.</w:t>
      </w:r>
    </w:p>
    <w:p>
      <w:r>
        <w:rPr>
          <w:b/>
        </w:rPr>
        <w:t xml:space="preserve">Investor Platforms: </w:t>
      </w:r>
      <w:r>
        <w:t>Use approved property data/intelligence to support investor-facing discovery or analysis experiences.</w:t>
      </w:r>
    </w:p>
    <w:p>
      <w:r>
        <w:rPr>
          <w:b/>
        </w:rPr>
        <w:t xml:space="preserve">Property Management Systems: </w:t>
      </w:r>
      <w:r>
        <w:t>Connect relevant approved property events or information where the use case is authorised.</w:t>
      </w:r>
    </w:p>
    <w:p>
      <w:r>
        <w:rPr>
          <w:b/>
        </w:rPr>
        <w:t xml:space="preserve">Research &amp; Analytics Tools: </w:t>
      </w:r>
      <w:r>
        <w:t>Use approved data/intelligence outputs for permitted research or analytical workflows.</w:t>
      </w:r>
    </w:p>
    <w:p>
      <w:r>
        <w:rPr>
          <w:b/>
        </w:rPr>
        <w:t xml:space="preserve">Enterprise Property Teams: </w:t>
      </w:r>
      <w:r>
        <w:t>Connect internal property tools and approved Asancha capabilities through controlled App access.</w:t>
      </w:r>
    </w:p>
    <w:p>
      <w:pPr>
        <w:pStyle w:val="Heading1"/>
      </w:pPr>
      <w:r>
        <w:t>12. Preserve 'API Access Does Not Mean Access to Everything'</w:t>
      </w:r>
    </w:p>
    <w:p>
      <w:r>
        <w:t>This is one of the strongest trust sections on the current page and should remain. It should be shorter and more visual.</w:t>
      </w:r>
    </w:p>
    <w:tbl>
      <w:tblPr>
        <w:tblStyle w:val="LightShading-Accent1"/>
        <w:tblW w:type="auto" w:w="0"/>
        <w:tblLook w:firstColumn="1" w:firstRow="1" w:lastColumn="0" w:lastRow="0" w:noHBand="0" w:noVBand="1" w:val="04A0"/>
      </w:tblPr>
      <w:tblGrid>
        <w:gridCol w:w="5083"/>
        <w:gridCol w:w="5083"/>
      </w:tblGrid>
      <w:tr>
        <w:tc>
          <w:tcPr>
            <w:tcW w:type="dxa" w:w="5083"/>
            <w:shd w:fill="17365D"/>
          </w:tcPr>
          <w:p>
            <w:r>
              <w:rPr>
                <w:b/>
                <w:color w:val="FFFFFF"/>
              </w:rPr>
              <w:t>Access can depend on</w:t>
            </w:r>
          </w:p>
        </w:tc>
        <w:tc>
          <w:tcPr>
            <w:tcW w:type="dxa" w:w="5083"/>
            <w:shd w:fill="17365D"/>
          </w:tcPr>
          <w:p>
            <w:r>
              <w:rPr>
                <w:b/>
                <w:color w:val="FFFFFF"/>
              </w:rPr>
              <w:t>Protected by default unless explicitly authorised</w:t>
            </w:r>
          </w:p>
        </w:tc>
      </w:tr>
      <w:tr>
        <w:tc>
          <w:tcPr>
            <w:tcW w:type="dxa" w:w="5083"/>
          </w:tcPr>
          <w:p>
            <w:r>
              <w:t>Organisation/App approval</w:t>
              <w:br/>
              <w:t>Environment/App status</w:t>
              <w:br/>
              <w:t>Approved scopes</w:t>
              <w:br/>
              <w:t>Subscription/access status</w:t>
              <w:br/>
              <w:t>Property visibility/data classification</w:t>
              <w:br/>
              <w:t>Applicable policy/legal basis</w:t>
            </w:r>
          </w:p>
        </w:tc>
        <w:tc>
          <w:tcPr>
            <w:tcW w:type="dxa" w:w="5083"/>
          </w:tcPr>
          <w:p>
            <w:r>
              <w:t>Private owner/investor/tenant information</w:t>
              <w:br/>
              <w:t>Protected documents</w:t>
              <w:br/>
              <w:t>Payment data</w:t>
              <w:br/>
              <w:t>Internal review data</w:t>
              <w:br/>
              <w:t>Staff-only capabilities</w:t>
              <w:br/>
              <w:t>Other restricted platform information</w:t>
            </w:r>
          </w:p>
        </w:tc>
      </w:tr>
    </w:tbl>
    <w:p>
      <w:pPr>
        <w:pStyle w:val="Heading1"/>
      </w:pPr>
      <w:r>
        <w:t>13. Clarify Commercial / Subscription Expectations</w:t>
      </w:r>
    </w:p>
    <w:p>
      <w:r>
        <w:t>The current page mentions subscription status and activating the subscription but does not explain the commercial model. Avoid inventing prices on this page unless approved.</w:t>
      </w:r>
    </w:p>
    <w:p>
      <w:pPr>
        <w:pStyle w:val="ListBullet"/>
      </w:pPr>
      <w:r>
        <w:t>State whether API access is subject to an approved plan/commercial agreement.</w:t>
      </w:r>
    </w:p>
    <w:p>
      <w:pPr>
        <w:pStyle w:val="ListBullet"/>
      </w:pPr>
      <w:r>
        <w:t>If public API pricing exists, link to it from the page.</w:t>
      </w:r>
    </w:p>
    <w:p>
      <w:pPr>
        <w:pStyle w:val="ListBullet"/>
      </w:pPr>
      <w:r>
        <w:t>If pricing is bespoke or scope/usage dependent, say so plainly.</w:t>
      </w:r>
    </w:p>
    <w:p>
      <w:pPr>
        <w:pStyle w:val="ListBullet"/>
      </w:pPr>
      <w:r>
        <w:t>Application, organisation approval, App approval, scope approval, subscription/payment status and production activation must remain distinct states.</w:t>
      </w:r>
    </w:p>
    <w:p>
      <w:pPr>
        <w:pStyle w:val="Heading1"/>
      </w:pPr>
      <w:r>
        <w:t>14. Recommended FAQ Set</w:t>
      </w:r>
    </w:p>
    <w:p>
      <w:pPr>
        <w:pStyle w:val="ListBullet"/>
      </w:pPr>
      <w:r>
        <w:t>What is an Asancha API Partner?</w:t>
      </w:r>
    </w:p>
    <w:p>
      <w:pPr>
        <w:pStyle w:val="ListBullet"/>
      </w:pPr>
      <w:r>
        <w:t>What is an API App, and how is it different from my organisation?</w:t>
      </w:r>
    </w:p>
    <w:p>
      <w:pPr>
        <w:pStyle w:val="ListBullet"/>
      </w:pPr>
      <w:r>
        <w:t>What property capabilities are available through the API?</w:t>
      </w:r>
    </w:p>
    <w:p>
      <w:pPr>
        <w:pStyle w:val="ListBullet"/>
      </w:pPr>
      <w:r>
        <w:t>Does approval give my App access to all Asancha data?</w:t>
      </w:r>
    </w:p>
    <w:p>
      <w:pPr>
        <w:pStyle w:val="ListBullet"/>
      </w:pPr>
      <w:r>
        <w:t>How are API scopes approved?</w:t>
      </w:r>
    </w:p>
    <w:p>
      <w:pPr>
        <w:pStyle w:val="ListBullet"/>
      </w:pPr>
      <w:r>
        <w:t>Can I create separate Apps or environments?</w:t>
      </w:r>
    </w:p>
    <w:p>
      <w:pPr>
        <w:pStyle w:val="ListBullet"/>
      </w:pPr>
      <w:r>
        <w:t>How are API keys created, rotated and revoked?</w:t>
      </w:r>
    </w:p>
    <w:p>
      <w:pPr>
        <w:pStyle w:val="ListBullet"/>
      </w:pPr>
      <w:r>
        <w:t>Does Asancha support webhooks?</w:t>
      </w:r>
    </w:p>
    <w:p>
      <w:pPr>
        <w:pStyle w:val="ListBullet"/>
      </w:pPr>
      <w:r>
        <w:t>Is there a test/sandbox environment?</w:t>
      </w:r>
    </w:p>
    <w:p>
      <w:pPr>
        <w:pStyle w:val="ListBullet"/>
      </w:pPr>
      <w:r>
        <w:t>How does API pricing or subscription work?</w:t>
      </w:r>
    </w:p>
    <w:p>
      <w:pPr>
        <w:pStyle w:val="ListBullet"/>
      </w:pPr>
      <w:r>
        <w:t>What happens after I apply?</w:t>
      </w:r>
    </w:p>
    <w:p>
      <w:pPr>
        <w:pStyle w:val="ListBullet"/>
      </w:pPr>
      <w:r>
        <w:t>Can Asancha change or revoke App access?</w:t>
      </w:r>
    </w:p>
    <w:p>
      <w:pPr>
        <w:pStyle w:val="Heading1"/>
      </w:pPr>
      <w:r>
        <w:t>15. Section-by-Section Developer Actions</w:t>
      </w:r>
    </w:p>
    <w:tbl>
      <w:tblPr>
        <w:tblStyle w:val="LightShading-Accent1"/>
        <w:tblW w:type="auto" w:w="0"/>
        <w:tblLook w:firstColumn="1" w:firstRow="1" w:lastColumn="0" w:lastRow="0" w:noHBand="0" w:noVBand="1" w:val="04A0"/>
      </w:tblPr>
      <w:tblGrid>
        <w:gridCol w:w="3389"/>
        <w:gridCol w:w="3389"/>
        <w:gridCol w:w="3389"/>
      </w:tblGrid>
      <w:tr>
        <w:tc>
          <w:tcPr>
            <w:tcW w:type="dxa" w:w="3389"/>
            <w:shd w:fill="17365D"/>
          </w:tcPr>
          <w:p>
            <w:r>
              <w:rPr>
                <w:b/>
                <w:color w:val="FFFFFF"/>
              </w:rPr>
              <w:t>Current area</w:t>
            </w:r>
          </w:p>
        </w:tc>
        <w:tc>
          <w:tcPr>
            <w:tcW w:type="dxa" w:w="3389"/>
            <w:shd w:fill="17365D"/>
          </w:tcPr>
          <w:p>
            <w:r>
              <w:rPr>
                <w:b/>
                <w:color w:val="FFFFFF"/>
              </w:rPr>
              <w:t>Action</w:t>
            </w:r>
          </w:p>
        </w:tc>
        <w:tc>
          <w:tcPr>
            <w:tcW w:type="dxa" w:w="3389"/>
            <w:shd w:fill="17365D"/>
          </w:tcPr>
          <w:p>
            <w:r>
              <w:rPr>
                <w:b/>
                <w:color w:val="FFFFFF"/>
              </w:rPr>
              <w:t>Developer instruction</w:t>
            </w:r>
          </w:p>
        </w:tc>
      </w:tr>
      <w:tr>
        <w:tc>
          <w:tcPr>
            <w:tcW w:type="dxa" w:w="3389"/>
          </w:tcPr>
          <w:p>
            <w:r>
              <w:t>Hero</w:t>
            </w:r>
          </w:p>
        </w:tc>
        <w:tc>
          <w:tcPr>
            <w:tcW w:type="dxa" w:w="3389"/>
          </w:tcPr>
          <w:p>
            <w:r>
              <w:t>TIGHTEN</w:t>
            </w:r>
          </w:p>
        </w:tc>
        <w:tc>
          <w:tcPr>
            <w:tcW w:type="dxa" w:w="3389"/>
          </w:tcPr>
          <w:p>
            <w:r>
              <w:t>Include property sourcing as well as intelligence; add Explore API Capabilities secondary CTA.</w:t>
            </w:r>
          </w:p>
        </w:tc>
      </w:tr>
      <w:tr>
        <w:tc>
          <w:tcPr>
            <w:tcW w:type="dxa" w:w="3389"/>
          </w:tcPr>
          <w:p>
            <w:r>
              <w:t>Benefits</w:t>
            </w:r>
          </w:p>
        </w:tc>
        <w:tc>
          <w:tcPr>
            <w:tcW w:type="dxa" w:w="3389"/>
          </w:tcPr>
          <w:p>
            <w:r>
              <w:t>KEEP / VISUALISE</w:t>
            </w:r>
          </w:p>
        </w:tc>
        <w:tc>
          <w:tcPr>
            <w:tcW w:type="dxa" w:w="3389"/>
          </w:tcPr>
          <w:p>
            <w:r>
              <w:t>Turn capabilities into concrete cards.</w:t>
            </w:r>
          </w:p>
        </w:tc>
      </w:tr>
      <w:tr>
        <w:tc>
          <w:tcPr>
            <w:tcW w:type="dxa" w:w="3389"/>
          </w:tcPr>
          <w:p>
            <w:r>
              <w:t>Partner types</w:t>
            </w:r>
          </w:p>
        </w:tc>
        <w:tc>
          <w:tcPr>
            <w:tcW w:type="dxa" w:w="3389"/>
          </w:tcPr>
          <w:p>
            <w:r>
              <w:t>KEEP / EXPAND</w:t>
            </w:r>
          </w:p>
        </w:tc>
        <w:tc>
          <w:tcPr>
            <w:tcW w:type="dxa" w:w="3389"/>
          </w:tcPr>
          <w:p>
            <w:r>
              <w:t>Convert list into use-case cards.</w:t>
            </w:r>
          </w:p>
        </w:tc>
      </w:tr>
      <w:tr>
        <w:tc>
          <w:tcPr>
            <w:tcW w:type="dxa" w:w="3389"/>
          </w:tcPr>
          <w:p>
            <w:r>
              <w:t>Access by permission</w:t>
            </w:r>
          </w:p>
        </w:tc>
        <w:tc>
          <w:tcPr>
            <w:tcW w:type="dxa" w:w="3389"/>
          </w:tcPr>
          <w:p>
            <w:r>
              <w:t>KEEP / SHORTEN</w:t>
            </w:r>
          </w:p>
        </w:tc>
        <w:tc>
          <w:tcPr>
            <w:tcW w:type="dxa" w:w="3389"/>
          </w:tcPr>
          <w:p>
            <w:r>
              <w:t>Retain as a core trust differentiator.</w:t>
            </w:r>
          </w:p>
        </w:tc>
      </w:tr>
      <w:tr>
        <w:tc>
          <w:tcPr>
            <w:tcW w:type="dxa" w:w="3389"/>
          </w:tcPr>
          <w:p>
            <w:r>
              <w:t>Key security</w:t>
            </w:r>
          </w:p>
        </w:tc>
        <w:tc>
          <w:tcPr>
            <w:tcW w:type="dxa" w:w="3389"/>
          </w:tcPr>
          <w:p>
            <w:r>
              <w:t>MOVE TO DOCS</w:t>
            </w:r>
          </w:p>
        </w:tc>
        <w:tc>
          <w:tcPr>
            <w:tcW w:type="dxa" w:w="3389"/>
          </w:tcPr>
          <w:p>
            <w:r>
              <w:t>Keep only a concise secure-by-design summary on marketing page.</w:t>
            </w:r>
          </w:p>
        </w:tc>
      </w:tr>
      <w:tr>
        <w:tc>
          <w:tcPr>
            <w:tcW w:type="dxa" w:w="3389"/>
          </w:tcPr>
          <w:p>
            <w:r>
              <w:t>Webhooks</w:t>
            </w:r>
          </w:p>
        </w:tc>
        <w:tc>
          <w:tcPr>
            <w:tcW w:type="dxa" w:w="3389"/>
          </w:tcPr>
          <w:p>
            <w:r>
              <w:t>KEEP / BENEFIT-LED</w:t>
            </w:r>
          </w:p>
        </w:tc>
        <w:tc>
          <w:tcPr>
            <w:tcW w:type="dxa" w:w="3389"/>
          </w:tcPr>
          <w:p>
            <w:r>
              <w:t>Explain why before implementation details.</w:t>
            </w:r>
          </w:p>
        </w:tc>
      </w:tr>
      <w:tr>
        <w:tc>
          <w:tcPr>
            <w:tcW w:type="dxa" w:w="3389"/>
          </w:tcPr>
          <w:p>
            <w:r>
              <w:t>10-step route</w:t>
            </w:r>
          </w:p>
        </w:tc>
        <w:tc>
          <w:tcPr>
            <w:tcW w:type="dxa" w:w="3389"/>
          </w:tcPr>
          <w:p>
            <w:r>
              <w:t>REPLACE</w:t>
            </w:r>
          </w:p>
        </w:tc>
        <w:tc>
          <w:tcPr>
            <w:tcW w:type="dxa" w:w="3389"/>
          </w:tcPr>
          <w:p>
            <w:r>
              <w:t>Use four public stages; preserve detailed steps in onboarding/docs.</w:t>
            </w:r>
          </w:p>
        </w:tc>
      </w:tr>
      <w:tr>
        <w:tc>
          <w:tcPr>
            <w:tcW w:type="dxa" w:w="3389"/>
          </w:tcPr>
          <w:p>
            <w:r>
              <w:t>Architecture</w:t>
            </w:r>
          </w:p>
        </w:tc>
        <w:tc>
          <w:tcPr>
            <w:tcW w:type="dxa" w:w="3389"/>
          </w:tcPr>
          <w:p>
            <w:r>
              <w:t>ADD</w:t>
            </w:r>
          </w:p>
        </w:tc>
        <w:tc>
          <w:tcPr>
            <w:tcW w:type="dxa" w:w="3389"/>
          </w:tcPr>
          <w:p>
            <w:r>
              <w:t>Show Partner App ↔ scoped API/webhooks ↔ Asancha Platform.</w:t>
            </w:r>
          </w:p>
        </w:tc>
      </w:tr>
      <w:tr>
        <w:tc>
          <w:tcPr>
            <w:tcW w:type="dxa" w:w="3389"/>
          </w:tcPr>
          <w:p>
            <w:r>
              <w:t>Developer experience</w:t>
            </w:r>
          </w:p>
        </w:tc>
        <w:tc>
          <w:tcPr>
            <w:tcW w:type="dxa" w:w="3389"/>
          </w:tcPr>
          <w:p>
            <w:r>
              <w:t>ADD</w:t>
            </w:r>
          </w:p>
        </w:tc>
        <w:tc>
          <w:tcPr>
            <w:tcW w:type="dxa" w:w="3389"/>
          </w:tcPr>
          <w:p>
            <w:r>
              <w:t>Preview auth, scopes, environments, docs, webhooks and monitoring.</w:t>
            </w:r>
          </w:p>
        </w:tc>
      </w:tr>
      <w:tr>
        <w:tc>
          <w:tcPr>
            <w:tcW w:type="dxa" w:w="3389"/>
          </w:tcPr>
          <w:p>
            <w:r>
              <w:t>Commercial model</w:t>
            </w:r>
          </w:p>
        </w:tc>
        <w:tc>
          <w:tcPr>
            <w:tcW w:type="dxa" w:w="3389"/>
          </w:tcPr>
          <w:p>
            <w:r>
              <w:t>CLARIFY</w:t>
            </w:r>
          </w:p>
        </w:tc>
        <w:tc>
          <w:tcPr>
            <w:tcW w:type="dxa" w:w="3389"/>
          </w:tcPr>
          <w:p>
            <w:r>
              <w:t>Explain approved plan/agreement model without inventing prices.</w:t>
            </w:r>
          </w:p>
        </w:tc>
      </w:tr>
      <w:tr>
        <w:tc>
          <w:tcPr>
            <w:tcW w:type="dxa" w:w="3389"/>
          </w:tcPr>
          <w:p>
            <w:r>
              <w:t>Shared security</w:t>
            </w:r>
          </w:p>
        </w:tc>
        <w:tc>
          <w:tcPr>
            <w:tcW w:type="dxa" w:w="3389"/>
          </w:tcPr>
          <w:p>
            <w:r>
              <w:t>CONDENSE</w:t>
            </w:r>
          </w:p>
        </w:tc>
        <w:tc>
          <w:tcPr>
            <w:tcW w:type="dxa" w:w="3389"/>
          </w:tcPr>
          <w:p>
            <w:r>
              <w:t>Move sensitive implementation guidance to secure partner docs.</w:t>
            </w:r>
          </w:p>
        </w:tc>
      </w:tr>
      <w:tr>
        <w:tc>
          <w:tcPr>
            <w:tcW w:type="dxa" w:w="3389"/>
          </w:tcPr>
          <w:p>
            <w:r>
              <w:t>FAQs</w:t>
            </w:r>
          </w:p>
        </w:tc>
        <w:tc>
          <w:tcPr>
            <w:tcW w:type="dxa" w:w="3389"/>
          </w:tcPr>
          <w:p>
            <w:r>
              <w:t>KEEP / EXPAND</w:t>
            </w:r>
          </w:p>
        </w:tc>
        <w:tc>
          <w:tcPr>
            <w:tcW w:type="dxa" w:w="3389"/>
          </w:tcPr>
          <w:p>
            <w:r>
              <w:t>Add capabilities, sandbox/testing, pricing and access-revocation questions.</w:t>
            </w:r>
          </w:p>
        </w:tc>
      </w:tr>
      <w:tr>
        <w:tc>
          <w:tcPr>
            <w:tcW w:type="dxa" w:w="3389"/>
          </w:tcPr>
          <w:p>
            <w:r>
              <w:t>Final CTA</w:t>
            </w:r>
          </w:p>
        </w:tc>
        <w:tc>
          <w:tcPr>
            <w:tcW w:type="dxa" w:w="3389"/>
          </w:tcPr>
          <w:p>
            <w:r>
              <w:t>KEEP</w:t>
            </w:r>
          </w:p>
        </w:tc>
        <w:tc>
          <w:tcPr>
            <w:tcW w:type="dxa" w:w="3389"/>
          </w:tcPr>
          <w:p>
            <w:r>
              <w:t>Apply for API Access.</w:t>
            </w:r>
          </w:p>
        </w:tc>
      </w:tr>
    </w:tbl>
    <w:p>
      <w:pPr>
        <w:pStyle w:val="Heading1"/>
      </w:pPr>
      <w:r>
        <w:t>16. Recommended Final Page Flow</w:t>
      </w:r>
    </w:p>
    <w:p>
      <w:pPr>
        <w:jc w:val="center"/>
      </w:pPr>
      <w:r>
        <w:rPr>
          <w:b/>
          <w:color w:val="17365D"/>
          <w:sz w:val="24"/>
        </w:rPr>
        <w:t>HERO → API CAPABILITIES → INTEGRATION DIAGRAM → PARTNER USE CASES → 4-STEP PARTNER JOURNEY → DEVELOPER EXPERIENCE → SCOPED ACCESS &amp; SECURITY → WEBHOOKS → COMMERCIAL MODEL → FAQs → APPLY CTA</w:t>
      </w:r>
    </w:p>
    <w:p>
      <w:pPr>
        <w:pStyle w:val="Heading1"/>
      </w:pPr>
      <w:r>
        <w:t>17. Business &amp; Security Guardrails</w:t>
      </w:r>
    </w:p>
    <w:p>
      <w:pPr>
        <w:pStyle w:val="ListBullet"/>
      </w:pPr>
      <w:r>
        <w:t>Submitting an API Partner application does not create an App, issue a key, approve scopes, activate billing or grant production access.</w:t>
      </w:r>
    </w:p>
    <w:p>
      <w:pPr>
        <w:pStyle w:val="ListBullet"/>
      </w:pPr>
      <w:r>
        <w:t>Organisation approval and App approval are separate concepts.</w:t>
      </w:r>
    </w:p>
    <w:p>
      <w:pPr>
        <w:pStyle w:val="ListBullet"/>
      </w:pPr>
      <w:r>
        <w:t>Each App should receive only the approved scopes/data required for its authorised purpose.</w:t>
      </w:r>
    </w:p>
    <w:p>
      <w:pPr>
        <w:pStyle w:val="ListBullet"/>
      </w:pPr>
      <w:r>
        <w:t>API access must not bypass property visibility, role, verification, payment or internal-review controls.</w:t>
      </w:r>
    </w:p>
    <w:p>
      <w:pPr>
        <w:pStyle w:val="ListBullet"/>
      </w:pPr>
      <w:r>
        <w:t>Secret credentials and webhook secrets must never be exposed in public page examples.</w:t>
      </w:r>
    </w:p>
    <w:p>
      <w:pPr>
        <w:pStyle w:val="ListBullet"/>
      </w:pPr>
      <w:r>
        <w:t>Do not publish private API base URLs, staff-only scopes, internal security findings or private error traces.</w:t>
      </w:r>
    </w:p>
    <w:p>
      <w:pPr>
        <w:pStyle w:val="ListBullet"/>
      </w:pPr>
      <w:r>
        <w:t>Subscription/payment status must not substitute for organisation, App or scope approval.</w:t>
      </w:r>
    </w:p>
    <w:p>
      <w:pPr>
        <w:pStyle w:val="ListBullet"/>
      </w:pPr>
      <w:r>
        <w:t>Webhook events remain subject to the App's approved access model.</w:t>
      </w:r>
    </w:p>
    <w:p>
      <w:pPr>
        <w:pStyle w:val="ListBullet"/>
      </w:pPr>
      <w:r>
        <w:t>Do not market endpoints, datasets, environments or SLAs that are not actually available/approved.</w:t>
      </w:r>
    </w:p>
    <w:p>
      <w:pPr>
        <w:pStyle w:val="ListBullet"/>
      </w:pPr>
      <w:r>
        <w:t>Property intelligence exposed through API remains subject to the same information-type and AI/advisory boundaries as the main platform.</w:t>
      </w:r>
    </w:p>
    <w:p>
      <w:pPr>
        <w:pStyle w:val="Heading1"/>
      </w:pPr>
      <w:r>
        <w:t>18. Five-Second &amp; Mobile UX Requirements</w:t>
      </w:r>
    </w:p>
    <w:p>
      <w:pPr>
        <w:pStyle w:val="ListBullet"/>
      </w:pPr>
      <w:r>
        <w:t>A technical/business visitor should immediately understand what the Asancha API enables and who it is for.</w:t>
      </w:r>
    </w:p>
    <w:p>
      <w:pPr>
        <w:pStyle w:val="ListBullet"/>
      </w:pPr>
      <w:r>
        <w:t>Apply for API Access must be obvious above the fold.</w:t>
      </w:r>
    </w:p>
    <w:p>
      <w:pPr>
        <w:pStyle w:val="ListBullet"/>
      </w:pPr>
      <w:r>
        <w:t>Capabilities should appear before detailed governance/security content.</w:t>
      </w:r>
    </w:p>
    <w:p>
      <w:pPr>
        <w:pStyle w:val="ListBullet"/>
      </w:pPr>
      <w:r>
        <w:t>The architecture diagram must collapse cleanly into a vertical flow on mobile.</w:t>
      </w:r>
    </w:p>
    <w:p>
      <w:pPr>
        <w:pStyle w:val="ListBullet"/>
      </w:pPr>
      <w:r>
        <w:t>The four-stage partner journey should replace the visually heavy ten-step sequence.</w:t>
      </w:r>
    </w:p>
    <w:p>
      <w:pPr>
        <w:pStyle w:val="ListBullet"/>
      </w:pPr>
      <w:r>
        <w:t>Detailed credential/security instructions should be progressively disclosed or moved to documentation.</w:t>
      </w:r>
    </w:p>
    <w:p>
      <w:pPr>
        <w:pStyle w:val="ListBullet"/>
      </w:pPr>
      <w:r>
        <w:t>Use short technical copy, clear diagrams and capability cards rather than large prose blocks.</w:t>
      </w:r>
    </w:p>
    <w:p>
      <w:pPr>
        <w:pStyle w:val="Heading1"/>
      </w:pPr>
      <w:r>
        <w:t>19. Definition of Done</w:t>
      </w:r>
    </w:p>
    <w:p>
      <w:pPr>
        <w:pStyle w:val="ListBullet"/>
      </w:pPr>
      <w:r>
        <w:t>The API proposition is understood within approximately five seconds.</w:t>
      </w:r>
    </w:p>
    <w:p>
      <w:pPr>
        <w:pStyle w:val="ListBullet"/>
      </w:pPr>
      <w:r>
        <w:t>Property sourcing and property intelligence are both represented in the proposition.</w:t>
      </w:r>
    </w:p>
    <w:p>
      <w:pPr>
        <w:pStyle w:val="ListBullet"/>
      </w:pPr>
      <w:r>
        <w:t>A partner can quickly understand what kinds of capabilities/use cases are supported.</w:t>
      </w:r>
    </w:p>
    <w:p>
      <w:pPr>
        <w:pStyle w:val="ListBullet"/>
      </w:pPr>
      <w:r>
        <w:t>The integration model is visually clear.</w:t>
      </w:r>
    </w:p>
    <w:p>
      <w:pPr>
        <w:pStyle w:val="ListBullet"/>
      </w:pPr>
      <w:r>
        <w:t>The public partner journey is four stages, not ten operational steps.</w:t>
      </w:r>
    </w:p>
    <w:p>
      <w:pPr>
        <w:pStyle w:val="ListBullet"/>
      </w:pPr>
      <w:r>
        <w:t>Scoped access remains a prominent trust principle.</w:t>
      </w:r>
    </w:p>
    <w:p>
      <w:pPr>
        <w:pStyle w:val="ListBullet"/>
      </w:pPr>
      <w:r>
        <w:t>Developer experience is visible without exposing secrets or sensitive implementation details.</w:t>
      </w:r>
    </w:p>
    <w:p>
      <w:pPr>
        <w:pStyle w:val="ListBullet"/>
      </w:pPr>
      <w:r>
        <w:t>Webhooks are explained in terms of partner value.</w:t>
      </w:r>
    </w:p>
    <w:p>
      <w:pPr>
        <w:pStyle w:val="ListBullet"/>
      </w:pPr>
      <w:r>
        <w:t>Commercial expectations are clearer.</w:t>
      </w:r>
    </w:p>
    <w:p>
      <w:pPr>
        <w:pStyle w:val="ListBullet"/>
      </w:pPr>
      <w:r>
        <w:t>The page feels like a credible API partnership/product page rather than internal security documentation.</w:t>
      </w:r>
    </w:p>
    <w:p>
      <w:pPr>
        <w:pStyle w:val="Heading1"/>
      </w:pPr>
      <w:r>
        <w:t>20. Strategic Positioning Note</w:t>
      </w:r>
    </w:p>
    <w:p>
      <w:r>
        <w:t>API Partners should be positioned as the integration layer of the Asancha ecosystem. Investors, owners, agents, sourcers and service providers use Asancha directly; approved API Partners allow selected Asancha property sourcing and intelligence capabilities to extend into other authorised products and systems. This keeps API access strategically connected to Asancha's core property-sourcing proposition rather than presenting it as a separate technology business.</w:t>
      </w:r>
    </w:p>
    <w:p>
      <w:pPr>
        <w:pStyle w:val="Heading1"/>
      </w:pPr>
      <w:r>
        <w:t>21. Source Reviewed</w:t>
      </w:r>
    </w:p>
    <w:p>
      <w:r>
        <w:t>This brief is based on the live Asancha API Partners page reviewed on 2 October 2026. The current page includes controlled API App access, scoped API keys, usage monitoring, webhook management, approved property intelligence capabilities, App-level separation, access controls, key management, a ten-step application-to-launch process, shared-security rules and API Partner FAQs.</w:t>
      </w:r>
    </w:p>
    <w:p>
      <w:pPr>
        <w:jc w:val="center"/>
      </w:pPr>
      <w:r>
        <w:rPr>
          <w:i/>
          <w:sz w:val="18"/>
        </w:rPr>
        <w:t>ASANCHA • API Partners • Developer Improvement Brief</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