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ASANCHA</w:t>
      </w:r>
    </w:p>
    <w:p>
      <w:pPr>
        <w:jc w:val="center"/>
      </w:pPr>
      <w:r>
        <w:rPr>
          <w:b/>
          <w:sz w:val="36"/>
        </w:rPr>
        <w:t>Property Sourcer Journey – UX &amp; Content Improvement Brief</w:t>
      </w:r>
    </w:p>
    <w:p>
      <w:pPr>
        <w:jc w:val="center"/>
      </w:pPr>
      <w:r>
        <w:rPr>
          <w:i/>
        </w:rPr>
        <w:t>Developer implementation brief for /solutions/property-sourcers</w:t>
      </w:r>
    </w:p>
    <w:p>
      <w:pPr>
        <w:pStyle w:val="Heading1"/>
      </w:pPr>
      <w:r>
        <w:t>1. Executive Direction</w:t>
      </w:r>
    </w:p>
    <w:p>
      <w:r>
        <w:t>The Property Sourcer page should become one of Asancha's clearest professional acquisition journeys. Sourcers are an important source of investment opportunities, while investors provide demand. The page should therefore sell a simple outcome: onboard as a legitimate sourcing professional, submit well-structured opportunities, reach relevant investors and manage deal progression from one place.</w:t>
      </w:r>
    </w:p>
    <w:p>
      <w:r>
        <w:rPr>
          <w:b/>
        </w:rPr>
        <w:t xml:space="preserve">Core UX principle: </w:t>
      </w:r>
      <w:r>
        <w:t>do not lead with platform administration or compliance mechanics. Lead with the sourcer's commercial workflow, then explain verification and controls at the point they matter.</w:t>
      </w:r>
    </w:p>
    <w:p>
      <w:pPr>
        <w:pStyle w:val="Heading1"/>
      </w:pPr>
      <w:r>
        <w:t>2. What the Page Should Communicate in Five Seconds</w:t>
      </w:r>
    </w:p>
    <w:p>
      <w:pPr>
        <w:pStyle w:val="ListBullet"/>
      </w:pPr>
      <w:r>
        <w:t>This page is specifically for property sourcers.</w:t>
      </w:r>
    </w:p>
    <w:p>
      <w:pPr>
        <w:pStyle w:val="ListBullet"/>
      </w:pPr>
      <w:r>
        <w:t>Asancha gives sourcers a structured route to submit and manage investment opportunities.</w:t>
      </w:r>
    </w:p>
    <w:p>
      <w:pPr>
        <w:pStyle w:val="ListBullet"/>
      </w:pPr>
      <w:r>
        <w:t>Approved opportunities can be discovered by relevant investors through the Asancha marketplace/matching experience.</w:t>
      </w:r>
    </w:p>
    <w:p>
      <w:pPr>
        <w:pStyle w:val="ListBullet"/>
      </w:pPr>
      <w:r>
        <w:t>Professional verification and deal information controls are part of the journey.</w:t>
      </w:r>
    </w:p>
    <w:p>
      <w:pPr>
        <w:pStyle w:val="ListBullet"/>
      </w:pPr>
      <w:r>
        <w:t>The obvious next action is to join/start as a sourcer.</w:t>
      </w:r>
    </w:p>
    <w:p>
      <w:pPr>
        <w:pStyle w:val="Heading1"/>
      </w:pPr>
      <w:r>
        <w:t>3. Recommended 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jc w:val="center"/>
            </w:pPr>
            <w:r>
              <w:rPr>
                <w:b/>
                <w:color w:val="2F5597"/>
              </w:rPr>
              <w:t>FOR PROPERTY SOURCERS</w:t>
            </w:r>
          </w:p>
          <w:p>
            <w:pPr>
              <w:jc w:val="center"/>
            </w:pPr>
            <w:r>
              <w:rPr>
                <w:b/>
                <w:sz w:val="36"/>
              </w:rPr>
              <w:t>Get Your Property Opportunities in Front of Relevant Investors</w:t>
            </w:r>
          </w:p>
          <w:p>
            <w:pPr>
              <w:jc w:val="center"/>
            </w:pPr>
            <w:r>
              <w:t>Submit and manage sourced property opportunities, present deals in a consistent format and connect with investors looking for opportunities that match their criteria.</w:t>
            </w:r>
          </w:p>
          <w:p>
            <w:pPr>
              <w:jc w:val="center"/>
            </w:pPr>
            <w:r>
              <w:rPr>
                <w:b/>
                <w:color w:val="2F5597"/>
              </w:rPr>
              <w:t>[ Join as a Property Sourcer ]     [ See How It Works ]</w:t>
            </w:r>
          </w:p>
          <w:p>
            <w:pPr>
              <w:jc w:val="center"/>
            </w:pPr>
            <w:r>
              <w:rPr>
                <w:i/>
              </w:rPr>
              <w:t>Professional Onboarding  ·  Structured Deal Submission  ·  Investor Discovery  ·  Deal Management</w:t>
            </w:r>
          </w:p>
        </w:tc>
      </w:tr>
    </w:tbl>
    <w:p>
      <w:r>
        <w:t>Avoid hero claims such as 'sell deals faster', 'guaranteed investors' or guaranteed completion. Asancha can describe access to an investor audience and matching/discovery functionality without promising demand or transaction outcomes.</w:t>
      </w:r>
    </w:p>
    <w:p>
      <w:pPr>
        <w:pStyle w:val="Heading1"/>
      </w:pPr>
      <w:r>
        <w:t>4. Make the Sourcer Journey the Centrepiece</w:t>
      </w:r>
    </w:p>
    <w:p>
      <w:r>
        <w:t>Borrow the simplicity of the marketplace journey pattern, but adapt it to Asancha's broader sourcing workflow:</w:t>
      </w:r>
    </w:p>
    <w:p>
      <w:r>
        <w:rPr>
          <w:b/>
        </w:rPr>
        <w:t>01 – Join &amp; Complete Professional Onboarding</w:t>
      </w:r>
      <w:r>
        <w:br/>
        <w:t>Create the sourcer account/profile and complete the required business, identity, authority or compliance steps applicable to the workflow.</w:t>
      </w:r>
    </w:p>
    <w:p>
      <w:r>
        <w:rPr>
          <w:b/>
        </w:rPr>
        <w:t>02 – Submit &amp; Package Opportunities</w:t>
      </w:r>
      <w:r>
        <w:br/>
        <w:t>Add property facts, pricing, strategy information, sourcing fee, supporting evidence and permitted investment information in a consistent structure.</w:t>
      </w:r>
    </w:p>
    <w:p>
      <w:r>
        <w:rPr>
          <w:b/>
        </w:rPr>
        <w:t>03 – Reach Relevant Investors</w:t>
      </w:r>
      <w:r>
        <w:br/>
        <w:t>Once an opportunity is approved for publication, make it discoverable through Asancha's marketplace and applicable investor matching/discovery experience.</w:t>
      </w:r>
    </w:p>
    <w:p>
      <w:r>
        <w:rPr>
          <w:b/>
        </w:rPr>
        <w:t>04 – Manage &amp; Progress Deals</w:t>
      </w:r>
      <w:r>
        <w:br/>
        <w:t>Manage enquiries, protected information access, conversations, required actions and eligible deal progression from the sourcer workspace.</w:t>
      </w:r>
    </w:p>
    <w:p>
      <w:pPr>
        <w:pStyle w:val="Heading1"/>
      </w:pPr>
      <w:r>
        <w:t>5. Show What a Professionally Packaged Deal Looks Like</w:t>
      </w:r>
    </w:p>
    <w:p>
      <w:r>
        <w:t>Do not only describe deal submission. Show an illustrative Asancha opportunity card/deal preview.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B"/>
          </w:tcPr>
          <w:p>
            <w:r>
              <w:rPr>
                <w:b/>
                <w:color w:val="17365D"/>
              </w:rPr>
              <w:t>EXAMPLE SOURCED OPPORTUNITY</w:t>
            </w:r>
          </w:p>
          <w:p>
            <w:r>
              <w:t>3-bed BTL opportunity – Manchester</w:t>
            </w:r>
          </w:p>
          <w:p>
            <w:r>
              <w:t>Asking price: £185,000</w:t>
            </w:r>
          </w:p>
          <w:p>
            <w:r>
              <w:t>Sourcing fee: £X (where applicable and permitted)</w:t>
            </w:r>
          </w:p>
          <w:p>
            <w:r>
              <w:t>Calculated gross yield: 7.5%</w:t>
            </w:r>
          </w:p>
          <w:p>
            <w:r>
              <w:t>Rental estimate: £X pcm – clearly labelled by source/type</w:t>
            </w:r>
          </w:p>
          <w:p>
            <w:r>
              <w:t>Strategy: BTL</w:t>
            </w:r>
          </w:p>
          <w:p>
            <w:r>
              <w:t>Refurbishment: Light</w:t>
            </w:r>
          </w:p>
          <w:p>
            <w:r>
              <w:t>Supporting documents: controlled access</w:t>
            </w:r>
          </w:p>
          <w:p>
            <w:r>
              <w:t>[ View Opportunity ]</w:t>
            </w:r>
          </w:p>
        </w:tc>
      </w:tr>
    </w:tbl>
    <w:p>
      <w:r>
        <w:t>Use real platform components where possible. Clearly distinguish authoritative property facts, deterministic calculations, estimates/professional inputs, algorithmic outputs and AI insights.</w:t>
      </w:r>
    </w:p>
    <w:p>
      <w:pPr>
        <w:pStyle w:val="Heading1"/>
      </w:pPr>
      <w:r>
        <w:t>6. Show the Sourcer Workspace</w:t>
      </w:r>
    </w:p>
    <w:p>
      <w:r>
        <w:t>This should be a major differentiator. A sourcer managing multiple opportunities needs to see the platform as an operating workspace, not merely a listing form.</w:t>
      </w:r>
    </w:p>
    <w:p>
      <w:pPr>
        <w:jc w:val="center"/>
      </w:pPr>
      <w:r>
        <w:rPr>
          <w:b/>
          <w:color w:val="2F5597"/>
          <w:sz w:val="24"/>
        </w:rPr>
        <w:t>8 Active Opportunities  |  3 Under Review  |  12 Investor Enquiries  |  2 Actions Required  |  1 Progressing</w:t>
      </w:r>
    </w:p>
    <w:p>
      <w:r>
        <w:t>Suggested workspace navigation: Opportunities | Enquiries | Messages | Documents | Progress | Profile/Verification.</w:t>
      </w:r>
    </w:p>
    <w:p>
      <w:r>
        <w:t>Only display metrics, states and modules that exist or are approved for the relevant product release.</w:t>
      </w:r>
    </w:p>
    <w:p>
      <w:pPr>
        <w:pStyle w:val="Heading1"/>
      </w:pPr>
      <w:r>
        <w:t>7. Make Investor Matching Tangible</w:t>
      </w:r>
    </w:p>
    <w:p>
      <w:r>
        <w:t>Asancha's wider proposition includes matching and personalised discovery. Demonstrate the benefit to the sourcer without implying guaranteed investor demand.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Opportunity characteristic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Illustrative investor alignment</w:t>
            </w:r>
          </w:p>
        </w:tc>
      </w:tr>
      <w:tr>
        <w:tc>
          <w:tcPr>
            <w:tcW w:type="dxa" w:w="5083"/>
          </w:tcPr>
          <w:p>
            <w:r>
              <w:t>£185k asking price</w:t>
            </w:r>
          </w:p>
        </w:tc>
        <w:tc>
          <w:tcPr>
            <w:tcW w:type="dxa" w:w="5083"/>
          </w:tcPr>
          <w:p>
            <w:r>
              <w:t>Within stated budgets for a relevant investor segment</w:t>
            </w:r>
          </w:p>
        </w:tc>
      </w:tr>
      <w:tr>
        <w:tc>
          <w:tcPr>
            <w:tcW w:type="dxa" w:w="5083"/>
          </w:tcPr>
          <w:p>
            <w:r>
              <w:t>Manchester</w:t>
            </w:r>
          </w:p>
        </w:tc>
        <w:tc>
          <w:tcPr>
            <w:tcW w:type="dxa" w:w="5083"/>
          </w:tcPr>
          <w:p>
            <w:r>
              <w:t>Matches selected investor location criteria</w:t>
            </w:r>
          </w:p>
        </w:tc>
      </w:tr>
      <w:tr>
        <w:tc>
          <w:tcPr>
            <w:tcW w:type="dxa" w:w="5083"/>
          </w:tcPr>
          <w:p>
            <w:r>
              <w:t>BTL</w:t>
            </w:r>
          </w:p>
        </w:tc>
        <w:tc>
          <w:tcPr>
            <w:tcW w:type="dxa" w:w="5083"/>
          </w:tcPr>
          <w:p>
            <w:r>
              <w:t>Matches investors seeking BTL opportunities</w:t>
            </w:r>
          </w:p>
        </w:tc>
      </w:tr>
      <w:tr>
        <w:tc>
          <w:tcPr>
            <w:tcW w:type="dxa" w:w="5083"/>
          </w:tcPr>
          <w:p>
            <w:r>
              <w:t>7.5% calculated gross yield</w:t>
            </w:r>
          </w:p>
        </w:tc>
        <w:tc>
          <w:tcPr>
            <w:tcW w:type="dxa" w:w="5083"/>
          </w:tcPr>
          <w:p>
            <w:r>
              <w:t>Meets some investors' stated minimum-yield criteria</w:t>
            </w:r>
          </w:p>
        </w:tc>
      </w:tr>
      <w:tr>
        <w:tc>
          <w:tcPr>
            <w:tcW w:type="dxa" w:w="5083"/>
          </w:tcPr>
          <w:p>
            <w:r>
              <w:t>Light refurbishment</w:t>
            </w:r>
          </w:p>
        </w:tc>
        <w:tc>
          <w:tcPr>
            <w:tcW w:type="dxa" w:w="5083"/>
          </w:tcPr>
          <w:p>
            <w:r>
              <w:t>May align with investors accepting light works</w:t>
            </w:r>
          </w:p>
        </w:tc>
      </w:tr>
    </w:tbl>
    <w:p>
      <w:r>
        <w:t>Preferred language: 'potentially relevant investors', 'matches stated criteria' or 'discoverable to relevant investors'. Avoid 'we have buyers waiting' unless that statement is demonstrably true and approved.</w:t>
      </w:r>
    </w:p>
    <w:p>
      <w:pPr>
        <w:pStyle w:val="Heading1"/>
      </w:pPr>
      <w:r>
        <w:t>8. Why Source Through Asancha?</w:t>
      </w:r>
    </w:p>
    <w:p>
      <w:r>
        <w:rPr>
          <w:b/>
        </w:rPr>
        <w:t xml:space="preserve">Structured Deal Presentation: </w:t>
      </w:r>
      <w:r>
        <w:t>Present opportunities in a consistent format that helps investors understand the available information.</w:t>
      </w:r>
    </w:p>
    <w:p>
      <w:r>
        <w:rPr>
          <w:b/>
        </w:rPr>
        <w:t xml:space="preserve">Relevant Investor Discovery: </w:t>
      </w:r>
      <w:r>
        <w:t>Make approved opportunities discoverable to investors and, where applicable, surface them against stated investor criteria.</w:t>
      </w:r>
    </w:p>
    <w:p>
      <w:r>
        <w:rPr>
          <w:b/>
        </w:rPr>
        <w:t xml:space="preserve">Controlled Deal Information: </w:t>
      </w:r>
      <w:r>
        <w:t>Keep public information separate from protected documents and restricted deal information.</w:t>
      </w:r>
    </w:p>
    <w:p>
      <w:r>
        <w:rPr>
          <w:b/>
        </w:rPr>
        <w:t xml:space="preserve">One Place to Manage Progress: </w:t>
      </w:r>
      <w:r>
        <w:t>Manage opportunities, enquiries, conversations, documents and permitted next steps through a connected workflow.</w:t>
      </w:r>
    </w:p>
    <w:p>
      <w:pPr>
        <w:pStyle w:val="Heading1"/>
      </w:pPr>
      <w:r>
        <w:t>9. Verification Should Build Trust, Not Dominate the Page</w:t>
      </w:r>
    </w:p>
    <w:p>
      <w:r>
        <w:t>Recommended heading: Build Trust as a Professional Sourcer</w:t>
      </w:r>
    </w:p>
    <w:p>
      <w:pPr>
        <w:pStyle w:val="ListBullet"/>
      </w:pPr>
      <w:r>
        <w:t>Explain what category of professional/business information may be required during onboarding.</w:t>
      </w:r>
    </w:p>
    <w:p>
      <w:pPr>
        <w:pStyle w:val="ListBullet"/>
      </w:pPr>
      <w:r>
        <w:t>Show verification/status visually in the sourcer workspace where appropriate.</w:t>
      </w:r>
    </w:p>
    <w:p>
      <w:pPr>
        <w:pStyle w:val="ListBullet"/>
      </w:pPr>
      <w:r>
        <w:t>Explain that checks protect investors, property owners, professionals and the marketplace.</w:t>
      </w:r>
    </w:p>
    <w:p>
      <w:pPr>
        <w:pStyle w:val="ListBullet"/>
      </w:pPr>
      <w:r>
        <w:t>Do not describe a sourcer as 'verified' until the applicable verification state has actually been achieved.</w:t>
      </w:r>
    </w:p>
    <w:p>
      <w:pPr>
        <w:pStyle w:val="ListBullet"/>
      </w:pPr>
      <w:r>
        <w:t>Do not imply that sourcer verification independently verifies every property, every document or every investment claim.</w:t>
      </w:r>
    </w:p>
    <w:p>
      <w:pPr>
        <w:pStyle w:val="Heading1"/>
      </w:pPr>
      <w:r>
        <w:t>10. Make Fees Transparent</w:t>
      </w:r>
    </w:p>
    <w:p>
      <w:r>
        <w:t>Where sourcers charge a sourcing/package fee, Asancha should make the fee visible at the appropriate point in the opportunity experience and distinguish it from the property purchase price, reservation/payment amounts and any Asancha platform charges.</w:t>
      </w:r>
    </w:p>
    <w:p>
      <w:pPr>
        <w:pStyle w:val="ListBullet"/>
      </w:pPr>
      <w:r>
        <w:t>Label the sourcing fee clearly.</w:t>
      </w:r>
    </w:p>
    <w:p>
      <w:pPr>
        <w:pStyle w:val="ListBullet"/>
      </w:pPr>
      <w:r>
        <w:t>Explain when it becomes payable and to whom, based on the approved commercial/payment model.</w:t>
      </w:r>
    </w:p>
    <w:p>
      <w:pPr>
        <w:pStyle w:val="ListBullet"/>
      </w:pPr>
      <w:r>
        <w:t>Do not blur a sourcing fee with reservation or property purchase funds.</w:t>
      </w:r>
    </w:p>
    <w:p>
      <w:pPr>
        <w:pStyle w:val="ListBullet"/>
      </w:pPr>
      <w:r>
        <w:t>If fees differ by opportunity, display the deal-specific amount rather than implying a universal fee.</w:t>
      </w:r>
    </w:p>
    <w:p>
      <w:pPr>
        <w:pStyle w:val="Heading1"/>
      </w:pPr>
      <w:r>
        <w:t>11. Clarify Sourcer vs Agent</w:t>
      </w:r>
    </w:p>
    <w:p>
      <w:r>
        <w:t>Asancha has separate Agent and Sourcer journeys. Add a short route-selection cue so professionals do not choose the wrong onboarding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Property Sourcer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Property Agent</w:t>
            </w:r>
          </w:p>
        </w:tc>
      </w:tr>
      <w:tr>
        <w:tc>
          <w:tcPr>
            <w:tcW w:type="dxa" w:w="5083"/>
          </w:tcPr>
          <w:p>
            <w:r>
              <w:t>Use this route if your Asancha role is sourcing/package opportunities for investors under the applicable sourcing workflow.</w:t>
            </w:r>
          </w:p>
        </w:tc>
        <w:tc>
          <w:tcPr>
            <w:tcW w:type="dxa" w:w="5083"/>
          </w:tcPr>
          <w:p>
            <w:r>
              <w:t>Use the Agent route if you are acting through an estate/agency relationship to market client property stock.</w:t>
            </w:r>
          </w:p>
        </w:tc>
      </w:tr>
    </w:tbl>
    <w:p>
      <w:r>
        <w:t>This is UX routing language, not a legal classification. The actual onboarding questions and permissions should determine the appropriate role and required evidence.</w:t>
      </w:r>
    </w:p>
    <w:p>
      <w:pPr>
        <w:pStyle w:val="Heading1"/>
      </w:pPr>
      <w:r>
        <w:t>12. Protected Deal Information</w:t>
      </w:r>
    </w:p>
    <w:p>
      <w:r>
        <w:t>A visual Public vs Controlled component will help sourcers understand how their deal information is handled.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Public / marketplace preview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Controlled / protected</w:t>
            </w:r>
          </w:p>
        </w:tc>
      </w:tr>
      <w:tr>
        <w:tc>
          <w:tcPr>
            <w:tcW w:type="dxa" w:w="5083"/>
          </w:tcPr>
          <w:p>
            <w:r>
              <w:t>General approved location</w:t>
            </w:r>
          </w:p>
        </w:tc>
        <w:tc>
          <w:tcPr>
            <w:tcW w:type="dxa" w:w="5083"/>
          </w:tcPr>
          <w:p>
            <w:r>
              <w:t>Restricted/full address where applicable</w:t>
            </w:r>
          </w:p>
        </w:tc>
      </w:tr>
      <w:tr>
        <w:tc>
          <w:tcPr>
            <w:tcW w:type="dxa" w:w="5083"/>
          </w:tcPr>
          <w:p>
            <w:r>
              <w:t>Approved property facts</w:t>
            </w:r>
          </w:p>
        </w:tc>
        <w:tc>
          <w:tcPr>
            <w:tcW w:type="dxa" w:w="5083"/>
          </w:tcPr>
          <w:p>
            <w:r>
              <w:t>Protected deal pack/documents</w:t>
            </w:r>
          </w:p>
        </w:tc>
      </w:tr>
      <w:tr>
        <w:tc>
          <w:tcPr>
            <w:tcW w:type="dxa" w:w="5083"/>
          </w:tcPr>
          <w:p>
            <w:r>
              <w:t>Approved images/description</w:t>
            </w:r>
          </w:p>
        </w:tc>
        <w:tc>
          <w:tcPr>
            <w:tcW w:type="dxa" w:w="5083"/>
          </w:tcPr>
          <w:p>
            <w:r>
              <w:t>Sensitive ownership or authority evidence</w:t>
            </w:r>
          </w:p>
        </w:tc>
      </w:tr>
      <w:tr>
        <w:tc>
          <w:tcPr>
            <w:tcW w:type="dxa" w:w="5083"/>
          </w:tcPr>
          <w:p>
            <w:r>
              <w:t>Permitted price/investment indicators</w:t>
            </w:r>
          </w:p>
        </w:tc>
        <w:tc>
          <w:tcPr>
            <w:tcW w:type="dxa" w:w="5083"/>
          </w:tcPr>
          <w:p>
            <w:r>
              <w:t>Information unlocked only by eligible roles/status</w:t>
            </w:r>
          </w:p>
        </w:tc>
      </w:tr>
      <w:tr>
        <w:tc>
          <w:tcPr>
            <w:tcW w:type="dxa" w:w="5083"/>
          </w:tcPr>
          <w:p>
            <w:r>
              <w:t>Sourcing fee where approved for display</w:t>
            </w:r>
          </w:p>
        </w:tc>
        <w:tc>
          <w:tcPr>
            <w:tcW w:type="dxa" w:w="5083"/>
          </w:tcPr>
          <w:p>
            <w:r>
              <w:t>Restricted communications/documents</w:t>
            </w:r>
          </w:p>
        </w:tc>
      </w:tr>
    </w:tbl>
    <w:p>
      <w:r>
        <w:t>Exact visibility must follow the platform's approved access-control and publication rules.</w:t>
      </w:r>
    </w:p>
    <w:p>
      <w:pPr>
        <w:pStyle w:val="Heading1"/>
      </w:pPr>
      <w:r>
        <w:t>13. Recommended FAQs</w:t>
      </w:r>
    </w:p>
    <w:p>
      <w:pPr>
        <w:pStyle w:val="ListBullet"/>
      </w:pPr>
      <w:r>
        <w:t>Who can join Asancha as a property sourcer?</w:t>
      </w:r>
    </w:p>
    <w:p>
      <w:pPr>
        <w:pStyle w:val="ListBullet"/>
      </w:pPr>
      <w:r>
        <w:t>What information or checks are required before I can submit/publish opportunities?</w:t>
      </w:r>
    </w:p>
    <w:p>
      <w:pPr>
        <w:pStyle w:val="ListBullet"/>
      </w:pPr>
      <w:r>
        <w:t>Does submitting a deal automatically publish it?</w:t>
      </w:r>
    </w:p>
    <w:p>
      <w:pPr>
        <w:pStyle w:val="ListBullet"/>
      </w:pPr>
      <w:r>
        <w:t>What information is visible publicly?</w:t>
      </w:r>
    </w:p>
    <w:p>
      <w:pPr>
        <w:pStyle w:val="ListBullet"/>
      </w:pPr>
      <w:r>
        <w:t>Can investors see my sourcing fee?</w:t>
      </w:r>
    </w:p>
    <w:p>
      <w:pPr>
        <w:pStyle w:val="ListBullet"/>
      </w:pPr>
      <w:r>
        <w:t>Does Asancha guarantee investor interest or a buyer?</w:t>
      </w:r>
    </w:p>
    <w:p>
      <w:pPr>
        <w:pStyle w:val="ListBullet"/>
      </w:pPr>
      <w:r>
        <w:t>How are investors matched to opportunities?</w:t>
      </w:r>
    </w:p>
    <w:p>
      <w:pPr>
        <w:pStyle w:val="ListBullet"/>
      </w:pPr>
      <w:r>
        <w:t>Can I update or withdraw an opportunity?</w:t>
      </w:r>
    </w:p>
    <w:p>
      <w:pPr>
        <w:pStyle w:val="ListBullet"/>
      </w:pPr>
      <w:r>
        <w:t>What happens when an investor wants to progress a deal?</w:t>
      </w:r>
    </w:p>
    <w:p>
      <w:pPr>
        <w:pStyle w:val="Heading1"/>
      </w:pPr>
      <w:r>
        <w:t>14. Section-by-Section Developer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Developer instruction</w:t>
            </w:r>
          </w:p>
        </w:tc>
      </w:tr>
      <w:tr>
        <w:tc>
          <w:tcPr>
            <w:tcW w:type="dxa" w:w="3389"/>
          </w:tcPr>
          <w:p>
            <w:r>
              <w:t>Hero</w:t>
            </w:r>
          </w:p>
        </w:tc>
        <w:tc>
          <w:tcPr>
            <w:tcW w:type="dxa" w:w="3389"/>
          </w:tcPr>
          <w:p>
            <w:r>
              <w:t>TIGHTEN</w:t>
            </w:r>
          </w:p>
        </w:tc>
        <w:tc>
          <w:tcPr>
            <w:tcW w:type="dxa" w:w="3389"/>
          </w:tcPr>
          <w:p>
            <w:r>
              <w:t>Lead with getting sourced opportunities in front of relevant investors; one primary onboarding CTA.</w:t>
            </w:r>
          </w:p>
        </w:tc>
      </w:tr>
      <w:tr>
        <w:tc>
          <w:tcPr>
            <w:tcW w:type="dxa" w:w="3389"/>
          </w:tcPr>
          <w:p>
            <w:r>
              <w:t>Professional/compliance explanation</w:t>
            </w:r>
          </w:p>
        </w:tc>
        <w:tc>
          <w:tcPr>
            <w:tcW w:type="dxa" w:w="3389"/>
          </w:tcPr>
          <w:p>
            <w:r>
              <w:t>MOVE DOWN / SIMPLIFY</w:t>
            </w:r>
          </w:p>
        </w:tc>
        <w:tc>
          <w:tcPr>
            <w:tcW w:type="dxa" w:w="3389"/>
          </w:tcPr>
          <w:p>
            <w:r>
              <w:t>Do not lead with administrative mechanics.</w:t>
            </w:r>
          </w:p>
        </w:tc>
      </w:tr>
      <w:tr>
        <w:tc>
          <w:tcPr>
            <w:tcW w:type="dxa" w:w="3389"/>
          </w:tcPr>
          <w:p>
            <w:r>
              <w:t>Sourcer journey</w:t>
            </w:r>
          </w:p>
        </w:tc>
        <w:tc>
          <w:tcPr>
            <w:tcW w:type="dxa" w:w="3389"/>
          </w:tcPr>
          <w:p>
            <w:r>
              <w:t>PROMOTE</w:t>
            </w:r>
          </w:p>
        </w:tc>
        <w:tc>
          <w:tcPr>
            <w:tcW w:type="dxa" w:w="3389"/>
          </w:tcPr>
          <w:p>
            <w:r>
              <w:t>Use four customer-facing steps near the top.</w:t>
            </w:r>
          </w:p>
        </w:tc>
      </w:tr>
      <w:tr>
        <w:tc>
          <w:tcPr>
            <w:tcW w:type="dxa" w:w="3389"/>
          </w:tcPr>
          <w:p>
            <w:r>
              <w:t>Deal submission</w:t>
            </w:r>
          </w:p>
        </w:tc>
        <w:tc>
          <w:tcPr>
            <w:tcW w:type="dxa" w:w="3389"/>
          </w:tcPr>
          <w:p>
            <w:r>
              <w:t>SHOW</w:t>
            </w:r>
          </w:p>
        </w:tc>
        <w:tc>
          <w:tcPr>
            <w:tcW w:type="dxa" w:w="3389"/>
          </w:tcPr>
          <w:p>
            <w:r>
              <w:t>Add an opportunity/deal preview rather than only describing fields.</w:t>
            </w:r>
          </w:p>
        </w:tc>
      </w:tr>
      <w:tr>
        <w:tc>
          <w:tcPr>
            <w:tcW w:type="dxa" w:w="3389"/>
          </w:tcPr>
          <w:p>
            <w:r>
              <w:t>Investor matching</w:t>
            </w:r>
          </w:p>
        </w:tc>
        <w:tc>
          <w:tcPr>
            <w:tcW w:type="dxa" w:w="3389"/>
          </w:tcPr>
          <w:p>
            <w:r>
              <w:t>SHOW</w:t>
            </w:r>
          </w:p>
        </w:tc>
        <w:tc>
          <w:tcPr>
            <w:tcW w:type="dxa" w:w="3389"/>
          </w:tcPr>
          <w:p>
            <w:r>
              <w:t>Use a criteria-alignment example; avoid guaranteed-demand wording.</w:t>
            </w:r>
          </w:p>
        </w:tc>
      </w:tr>
      <w:tr>
        <w:tc>
          <w:tcPr>
            <w:tcW w:type="dxa" w:w="3389"/>
          </w:tcPr>
          <w:p>
            <w:r>
              <w:t>Sourcer workspace</w:t>
            </w:r>
          </w:p>
        </w:tc>
        <w:tc>
          <w:tcPr>
            <w:tcW w:type="dxa" w:w="3389"/>
          </w:tcPr>
          <w:p>
            <w:r>
              <w:t>ADD / PROMOTE</w:t>
            </w:r>
          </w:p>
        </w:tc>
        <w:tc>
          <w:tcPr>
            <w:tcW w:type="dxa" w:w="3389"/>
          </w:tcPr>
          <w:p>
            <w:r>
              <w:t>Visually demonstrate multi-deal management.</w:t>
            </w:r>
          </w:p>
        </w:tc>
      </w:tr>
      <w:tr>
        <w:tc>
          <w:tcPr>
            <w:tcW w:type="dxa" w:w="3389"/>
          </w:tcPr>
          <w:p>
            <w:r>
              <w:t>Benefits</w:t>
            </w:r>
          </w:p>
        </w:tc>
        <w:tc>
          <w:tcPr>
            <w:tcW w:type="dxa" w:w="3389"/>
          </w:tcPr>
          <w:p>
            <w:r>
              <w:t>CONDENSE</w:t>
            </w:r>
          </w:p>
        </w:tc>
        <w:tc>
          <w:tcPr>
            <w:tcW w:type="dxa" w:w="3389"/>
          </w:tcPr>
          <w:p>
            <w:r>
              <w:t>Use four outcome-oriented cards.</w:t>
            </w:r>
          </w:p>
        </w:tc>
      </w:tr>
      <w:tr>
        <w:tc>
          <w:tcPr>
            <w:tcW w:type="dxa" w:w="3389"/>
          </w:tcPr>
          <w:p>
            <w:r>
              <w:t>Sourcing fees</w:t>
            </w:r>
          </w:p>
        </w:tc>
        <w:tc>
          <w:tcPr>
            <w:tcW w:type="dxa" w:w="3389"/>
          </w:tcPr>
          <w:p>
            <w:r>
              <w:t>CLARIFY</w:t>
            </w:r>
          </w:p>
        </w:tc>
        <w:tc>
          <w:tcPr>
            <w:tcW w:type="dxa" w:w="3389"/>
          </w:tcPr>
          <w:p>
            <w:r>
              <w:t>Make fees transparent and distinct from other money flows.</w:t>
            </w:r>
          </w:p>
        </w:tc>
      </w:tr>
      <w:tr>
        <w:tc>
          <w:tcPr>
            <w:tcW w:type="dxa" w:w="3389"/>
          </w:tcPr>
          <w:p>
            <w:r>
              <w:t>Protected information</w:t>
            </w:r>
          </w:p>
        </w:tc>
        <w:tc>
          <w:tcPr>
            <w:tcW w:type="dxa" w:w="3389"/>
          </w:tcPr>
          <w:p>
            <w:r>
              <w:t>SHOW</w:t>
            </w:r>
          </w:p>
        </w:tc>
        <w:tc>
          <w:tcPr>
            <w:tcW w:type="dxa" w:w="3389"/>
          </w:tcPr>
          <w:p>
            <w:r>
              <w:t>Add Public vs Controlled visual.</w:t>
            </w:r>
          </w:p>
        </w:tc>
      </w:tr>
      <w:tr>
        <w:tc>
          <w:tcPr>
            <w:tcW w:type="dxa" w:w="3389"/>
          </w:tcPr>
          <w:p>
            <w:r>
              <w:t>Agent vs Sourcer</w:t>
            </w:r>
          </w:p>
        </w:tc>
        <w:tc>
          <w:tcPr>
            <w:tcW w:type="dxa" w:w="3389"/>
          </w:tcPr>
          <w:p>
            <w:r>
              <w:t>ADD</w:t>
            </w:r>
          </w:p>
        </w:tc>
        <w:tc>
          <w:tcPr>
            <w:tcW w:type="dxa" w:w="3389"/>
          </w:tcPr>
          <w:p>
            <w:r>
              <w:t>Help professionals select the correct route.</w:t>
            </w:r>
          </w:p>
        </w:tc>
      </w:tr>
      <w:tr>
        <w:tc>
          <w:tcPr>
            <w:tcW w:type="dxa" w:w="3389"/>
          </w:tcPr>
          <w:p>
            <w:r>
              <w:t>Trust/verification</w:t>
            </w:r>
          </w:p>
        </w:tc>
        <w:tc>
          <w:tcPr>
            <w:tcW w:type="dxa" w:w="3389"/>
          </w:tcPr>
          <w:p>
            <w:r>
              <w:t>KEEP / HUMANISE</w:t>
            </w:r>
          </w:p>
        </w:tc>
        <w:tc>
          <w:tcPr>
            <w:tcW w:type="dxa" w:w="3389"/>
          </w:tcPr>
          <w:p>
            <w:r>
              <w:t>Explain why checks matter without making the page feel like a compliance manual.</w:t>
            </w:r>
          </w:p>
        </w:tc>
      </w:tr>
      <w:tr>
        <w:tc>
          <w:tcPr>
            <w:tcW w:type="dxa" w:w="3389"/>
          </w:tcPr>
          <w:p>
            <w:r>
              <w:t>FAQs</w:t>
            </w:r>
          </w:p>
        </w:tc>
        <w:tc>
          <w:tcPr>
            <w:tcW w:type="dxa" w:w="3389"/>
          </w:tcPr>
          <w:p>
            <w:r>
              <w:t>KEEP / FOCUS</w:t>
            </w:r>
          </w:p>
        </w:tc>
        <w:tc>
          <w:tcPr>
            <w:tcW w:type="dxa" w:w="3389"/>
          </w:tcPr>
          <w:p>
            <w:r>
              <w:t>Answer practical onboarding, publication, fee, visibility and progression questions.</w:t>
            </w:r>
          </w:p>
        </w:tc>
      </w:tr>
      <w:tr>
        <w:tc>
          <w:tcPr>
            <w:tcW w:type="dxa" w:w="3389"/>
          </w:tcPr>
          <w:p>
            <w:r>
              <w:t>Final CTA</w:t>
            </w:r>
          </w:p>
        </w:tc>
        <w:tc>
          <w:tcPr>
            <w:tcW w:type="dxa" w:w="3389"/>
          </w:tcPr>
          <w:p>
            <w:r>
              <w:t>SIMPLIFY</w:t>
            </w:r>
          </w:p>
        </w:tc>
        <w:tc>
          <w:tcPr>
            <w:tcW w:type="dxa" w:w="3389"/>
          </w:tcPr>
          <w:p>
            <w:r>
              <w:t>Join as a Property Sourcer.</w:t>
            </w:r>
          </w:p>
        </w:tc>
      </w:tr>
    </w:tbl>
    <w:p>
      <w:pPr>
        <w:pStyle w:val="Heading1"/>
      </w:pPr>
      <w:r>
        <w:t>15. Business-Rule Guardrails</w:t>
      </w:r>
    </w:p>
    <w:p>
      <w:pPr>
        <w:pStyle w:val="ListBullet"/>
      </w:pPr>
      <w:r>
        <w:t>Submission does not equal publication.</w:t>
      </w:r>
    </w:p>
    <w:p>
      <w:pPr>
        <w:pStyle w:val="ListBullet"/>
      </w:pPr>
      <w:r>
        <w:t>Publication does not equal verification.</w:t>
      </w:r>
    </w:p>
    <w:p>
      <w:pPr>
        <w:pStyle w:val="ListBullet"/>
      </w:pPr>
      <w:r>
        <w:t>Publication does not automatically mean an opportunity is eligible for reservation.</w:t>
      </w:r>
    </w:p>
    <w:p>
      <w:pPr>
        <w:pStyle w:val="ListBullet"/>
      </w:pPr>
      <w:r>
        <w:t>Sourcer verification does not automatically verify every submitted property or investment claim.</w:t>
      </w:r>
    </w:p>
    <w:p>
      <w:pPr>
        <w:pStyle w:val="ListBullet"/>
      </w:pPr>
      <w:r>
        <w:t>Reservation is not purchase, exchange or completion.</w:t>
      </w:r>
    </w:p>
    <w:p>
      <w:pPr>
        <w:pStyle w:val="ListBullet"/>
      </w:pPr>
      <w:r>
        <w:t>AI/matching outputs remain advisory and must not be represented as verification or guaranteed investment suitability.</w:t>
      </w:r>
    </w:p>
    <w:p>
      <w:pPr>
        <w:pStyle w:val="ListBullet"/>
      </w:pPr>
      <w:r>
        <w:t>Facts, calculations, estimates/professional opinions, algorithmic outputs, AI insights and verification outputs must remain distinguishable.</w:t>
      </w:r>
    </w:p>
    <w:p>
      <w:pPr>
        <w:pStyle w:val="ListBullet"/>
      </w:pPr>
      <w:r>
        <w:t>Do not guarantee buyer/investor interest, sale, completion, property value, rental income, yield or investment return.</w:t>
      </w:r>
    </w:p>
    <w:p>
      <w:pPr>
        <w:pStyle w:val="ListBullet"/>
      </w:pPr>
      <w:r>
        <w:t>Access to protected documents and information must follow role, verification and workflow rules.</w:t>
      </w:r>
    </w:p>
    <w:p>
      <w:pPr>
        <w:pStyle w:val="ListBullet"/>
      </w:pPr>
      <w:r>
        <w:t>Payment, subscription or fee status must not be used as a substitute for professional/property verification unless explicitly permitted by approved rules.</w:t>
      </w:r>
    </w:p>
    <w:p>
      <w:pPr>
        <w:pStyle w:val="Heading1"/>
      </w:pPr>
      <w:r>
        <w:t>16. Mobile &amp; Five-Second UX</w:t>
      </w:r>
    </w:p>
    <w:p>
      <w:pPr>
        <w:pStyle w:val="ListBullet"/>
      </w:pPr>
      <w:r>
        <w:t>The visitor should know immediately that the page is for property sourcers.</w:t>
      </w:r>
    </w:p>
    <w:p>
      <w:pPr>
        <w:pStyle w:val="ListBullet"/>
      </w:pPr>
      <w:r>
        <w:t>Join as a Property Sourcer should be visible above the fold.</w:t>
      </w:r>
    </w:p>
    <w:p>
      <w:pPr>
        <w:pStyle w:val="ListBullet"/>
      </w:pPr>
      <w:r>
        <w:t>The four-step journey must scan cleanly on mobile.</w:t>
      </w:r>
    </w:p>
    <w:p>
      <w:pPr>
        <w:pStyle w:val="ListBullet"/>
      </w:pPr>
      <w:r>
        <w:t>Show the deal preview before long explanations of controls/compliance.</w:t>
      </w:r>
    </w:p>
    <w:p>
      <w:pPr>
        <w:pStyle w:val="ListBullet"/>
      </w:pPr>
      <w:r>
        <w:t>Workspace and investor-alignment examples should stack into readable mobile cards.</w:t>
      </w:r>
    </w:p>
    <w:p>
      <w:pPr>
        <w:pStyle w:val="ListBullet"/>
      </w:pPr>
      <w:r>
        <w:t>Avoid large paragraphs; use progressive disclosure for detailed compliance/process information.</w:t>
      </w:r>
    </w:p>
    <w:p>
      <w:pPr>
        <w:pStyle w:val="Heading1"/>
      </w:pPr>
      <w:r>
        <w:t>17. Recommended Final Flow</w:t>
      </w:r>
    </w:p>
    <w:p>
      <w:pPr>
        <w:jc w:val="center"/>
      </w:pPr>
      <w:r>
        <w:rPr>
          <w:b/>
          <w:color w:val="17365D"/>
          <w:sz w:val="25"/>
        </w:rPr>
        <w:t>HERO → 4-STEP SOURCER JOURNEY → DEAL PREVIEW → WHY ASANCHA → INVESTOR ALIGNMENT → SOURCER WORKSPACE → FEES → PROTECTED INFORMATION → TRUST/VERIFICATION → FAQs → FINAL CTA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Sourcer proposition is understood within approximately five seconds.</w:t>
      </w:r>
    </w:p>
    <w:p>
      <w:pPr>
        <w:pStyle w:val="ListBullet"/>
      </w:pPr>
      <w:r>
        <w:t>The primary CTA is obvious.</w:t>
      </w:r>
    </w:p>
    <w:p>
      <w:pPr>
        <w:pStyle w:val="ListBullet"/>
      </w:pPr>
      <w:r>
        <w:t>The commercial workflow is clearer than the administrative/compliance workflow.</w:t>
      </w:r>
    </w:p>
    <w:p>
      <w:pPr>
        <w:pStyle w:val="ListBullet"/>
      </w:pPr>
      <w:r>
        <w:t>A visitor can see what a submitted opportunity will look like.</w:t>
      </w:r>
    </w:p>
    <w:p>
      <w:pPr>
        <w:pStyle w:val="ListBullet"/>
      </w:pPr>
      <w:r>
        <w:t>The page demonstrates how relevant investor discovery/matching works without promising demand.</w:t>
      </w:r>
    </w:p>
    <w:p>
      <w:pPr>
        <w:pStyle w:val="ListBullet"/>
      </w:pPr>
      <w:r>
        <w:t>Multi-opportunity management is visibly demonstrated.</w:t>
      </w:r>
    </w:p>
    <w:p>
      <w:pPr>
        <w:pStyle w:val="ListBullet"/>
      </w:pPr>
      <w:r>
        <w:t>Sourcing fees and protected information are handled transparently.</w:t>
      </w:r>
    </w:p>
    <w:p>
      <w:pPr>
        <w:pStyle w:val="ListBullet"/>
      </w:pPr>
      <w:r>
        <w:t>Agent and Sourcer routes are distinguishable.</w:t>
      </w:r>
    </w:p>
    <w:p>
      <w:pPr>
        <w:pStyle w:val="ListBullet"/>
      </w:pPr>
      <w:r>
        <w:t>Verification builds trust without implying that all properties or claims are automatically verified.</w:t>
      </w:r>
    </w:p>
    <w:p>
      <w:pPr>
        <w:pStyle w:val="ListBullet"/>
      </w:pPr>
      <w:r>
        <w:t>The page remains consistent with Asancha's core identity as a property sourcing platform.</w:t>
      </w:r>
    </w:p>
    <w:p>
      <w:pPr>
        <w:pStyle w:val="Heading1"/>
      </w:pPr>
      <w:r>
        <w:t>19. Product Positioning Note</w:t>
      </w:r>
    </w:p>
    <w:p>
      <w:r>
        <w:t>The Investor and Sourcer journeys should feel deliberately connected. Investors define what they are looking for; sourcers submit structured opportunities; Asancha helps relevant opportunities become discoverable and understandable; controlled verification and progression then support the next stages. This two-sided journey can become one of the clearest expressions of Asancha's property-sourcing marketplace.</w:t>
      </w:r>
    </w:p>
    <w:p>
      <w:pPr>
        <w:jc w:val="center"/>
      </w:pPr>
      <w:r>
        <w:rPr>
          <w:i/>
          <w:sz w:val="18"/>
        </w:rPr>
        <w:t>ASANCHA • Property Sourcer Journey • Developer Improvement Brief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