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Asancha – Find Properties / Marketplace</w:t>
        <w:br/>
        <w:t>Developer UX Feedback</w:t>
      </w:r>
    </w:p>
    <w:p>
      <w:pPr>
        <w:jc w:val="center"/>
      </w:pPr>
      <w:r>
        <w:rPr>
          <w:color w:val="5B6573"/>
          <w:sz w:val="18"/>
        </w:rPr>
        <w:t>Current page reviewed: https://asancha.vercel.app/marketplace</w:t>
      </w:r>
    </w:p>
    <w:p>
      <w:pPr>
        <w:pStyle w:val="Callout"/>
      </w:pPr>
      <w:r>
        <w:rPr>
          <w:b/>
        </w:rPr>
        <w:t xml:space="preserve">Overall direction: </w:t>
      </w:r>
      <w:r>
        <w:t>The page has useful search, filtering and governance foundations, but it should behave more like a high-intent property discovery experience and less like an explanatory landing page.</w:t>
      </w:r>
    </w:p>
    <w:p>
      <w:pPr>
        <w:pStyle w:val="Heading1"/>
      </w:pPr>
      <w:r>
        <w:t>1. Core UX Objective</w:t>
      </w:r>
    </w:p>
    <w:p>
      <w:r>
        <w:t>A user clicking “Find Properties” should immediately feel that they are searching for property opportunities. The page should prioritise search, filters and results, while detailed platform and access explanations should be revealed only when relevant.</w:t>
      </w:r>
    </w:p>
    <w:p>
      <w:pPr>
        <w:pStyle w:val="Heading1"/>
      </w:pPr>
      <w:r>
        <w:t>2. P1 – Move Search and Property Results Up</w:t>
      </w:r>
    </w:p>
    <w:p>
      <w:r>
        <w:t>Shorten the top of the page and bring the search/results experience much closer to the top. The recommended opening is:</w:t>
      </w:r>
    </w:p>
    <w:p>
      <w:pPr>
        <w:pStyle w:val="ListBullet"/>
      </w:pPr>
      <w:r>
        <w:t>Heading: Find Property Opportunities</w:t>
      </w:r>
    </w:p>
    <w:p>
      <w:pPr>
        <w:pStyle w:val="ListBullet"/>
      </w:pPr>
      <w:r>
        <w:t>Supporting copy: Discover UK property opportunities that match your location, budget and investment strategy.</w:t>
      </w:r>
    </w:p>
    <w:p>
      <w:pPr>
        <w:pStyle w:val="ListBullet"/>
      </w:pPr>
      <w:r>
        <w:t>Search: Location/Postcode | Budget | Investment Strategy | Search</w:t>
      </w:r>
    </w:p>
    <w:p>
      <w:pPr>
        <w:pStyle w:val="ListBullet"/>
      </w:pPr>
      <w:r>
        <w:t>Then show the number of available opportunities and the property results.</w:t>
      </w:r>
    </w:p>
    <w:p>
      <w:r>
        <w:t>Avoid making users read several explanatory sections before reaching the listings. The homepage has already introduced Asancha; this page should focus on the property-finding task.</w:t>
      </w:r>
    </w:p>
    <w:p>
      <w:pPr>
        <w:pStyle w:val="Heading1"/>
      </w:pPr>
      <w:r>
        <w:t>3. P1 – Consolidate Explanatory Content</w:t>
      </w:r>
    </w:p>
    <w:p>
      <w:r>
        <w:t>The current public-discovery, marketplace-discovery and protected-information explanations should not dominate the area above the listings. Please consolidate or relocate this information.</w:t>
      </w:r>
    </w:p>
    <w:p>
      <w:r>
        <w:t>Keep the underlying access and governance rules unchanged. The UX should enforce them at the appropriate moment rather than requiring users to understand the governance model before browsing.</w:t>
      </w:r>
    </w:p>
    <w:p>
      <w:r>
        <w:rPr>
          <w:b/>
        </w:rPr>
        <w:t xml:space="preserve">Suggested protected-information treatment: </w:t>
      </w:r>
      <w:r>
        <w:t>“Some property information is protected. Sign in and complete the required verification to access eligible deal information.” Include a Learn More link where appropriate.</w:t>
      </w:r>
    </w:p>
    <w:p>
      <w:pPr>
        <w:pStyle w:val="Heading1"/>
      </w:pPr>
      <w:r>
        <w:t>4. P1 – Make Property Opportunities the Dominant Content</w:t>
      </w:r>
    </w:p>
    <w:p>
      <w:r>
        <w:t>The property results should be the visual focus of the page. Result cards should help investors understand why an opportunity may be worth investigating, rather than looking like generic portal cards.</w:t>
      </w:r>
    </w:p>
    <w:p>
      <w:pPr/>
      <w:r>
        <w:t>Recommended card information:</w:t>
      </w:r>
    </w:p>
    <w:p>
      <w:pPr>
        <w:pStyle w:val="ListBullet"/>
      </w:pPr>
      <w:r>
        <w:t>Property image, property type/title and location</w:t>
      </w:r>
    </w:p>
    <w:p>
      <w:pPr>
        <w:pStyle w:val="ListBullet"/>
      </w:pPr>
      <w:r>
        <w:t>Asking price</w:t>
      </w:r>
    </w:p>
    <w:p>
      <w:pPr>
        <w:pStyle w:val="ListBullet"/>
      </w:pPr>
      <w:r>
        <w:t>Bedrooms / bathrooms / tenure where available</w:t>
      </w:r>
    </w:p>
    <w:p>
      <w:pPr>
        <w:pStyle w:val="ListBullet"/>
      </w:pPr>
      <w:r>
        <w:t>Gross yield</w:t>
      </w:r>
    </w:p>
    <w:p>
      <w:pPr>
        <w:pStyle w:val="ListBullet"/>
      </w:pPr>
      <w:r>
        <w:t>Estimated rent</w:t>
      </w:r>
    </w:p>
    <w:p>
      <w:pPr>
        <w:pStyle w:val="ListBullet"/>
      </w:pPr>
      <w:r>
        <w:t>Below-market estimate/discount where applicable</w:t>
      </w:r>
    </w:p>
    <w:p>
      <w:pPr>
        <w:pStyle w:val="ListBullet"/>
      </w:pPr>
      <w:r>
        <w:t>Clear labels for Fact, Calculation, Estimate and Verification where relevant</w:t>
      </w:r>
    </w:p>
    <w:p>
      <w:pPr>
        <w:pStyle w:val="ListBullet"/>
      </w:pPr>
      <w:r>
        <w:t>Personalised Match score and match/mismatch reasons for eligible signed-in investors</w:t>
      </w:r>
    </w:p>
    <w:p>
      <w:pPr>
        <w:pStyle w:val="ListBullet"/>
      </w:pPr>
      <w:r>
        <w:t>Primary action: View Opportunity</w:t>
      </w:r>
    </w:p>
    <w:p>
      <w:pPr>
        <w:pStyle w:val="Heading1"/>
      </w:pPr>
      <w:r>
        <w:t>5. P2 – Simplify Search and Filters</w:t>
      </w:r>
    </w:p>
    <w:p>
      <w:r>
        <w:t>Keep the main search simple and place specialist criteria behind Filters / More Filters. This reduces cognitive load while retaining the depth required by serious investors.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0F8"/>
          </w:tcPr>
          <w:p>
            <w:pPr>
              <w:spacing w:after="40" w:before="40"/>
            </w:pPr>
            <w:r>
              <w:rPr>
                <w:b/>
              </w:rPr>
              <w:t>Keep Visible</w:t>
            </w:r>
          </w:p>
        </w:tc>
        <w:tc>
          <w:tcPr>
            <w:tcW w:type="dxa" w:w="5040"/>
            <w:vAlign w:val="center"/>
            <w:shd w:fill="EAF0F8"/>
          </w:tcPr>
          <w:p>
            <w:pPr>
              <w:spacing w:after="40" w:before="40"/>
            </w:pPr>
            <w:r>
              <w:rPr>
                <w:b/>
              </w:rPr>
              <w:t>Advanced Filters</w:t>
            </w:r>
          </w:p>
        </w:tc>
      </w:tr>
      <w:tr>
        <w:tc>
          <w:tcPr>
            <w:tcW w:type="dxa" w:w="5040"/>
            <w:vAlign w:val="center"/>
          </w:tcPr>
          <w:p>
            <w:pPr>
              <w:spacing w:after="40" w:before="40"/>
            </w:pPr>
            <w:r>
              <w:t>Location / Postcode</w:t>
            </w:r>
          </w:p>
        </w:tc>
        <w:tc>
          <w:tcPr>
            <w:tcW w:type="dxa" w:w="5040"/>
            <w:vAlign w:val="center"/>
          </w:tcPr>
          <w:p>
            <w:pPr>
              <w:spacing w:after="40" w:before="40"/>
            </w:pPr>
            <w:r>
              <w:t>Property type</w:t>
            </w:r>
          </w:p>
        </w:tc>
      </w:tr>
      <w:tr>
        <w:tc>
          <w:tcPr>
            <w:tcW w:type="dxa" w:w="5040"/>
            <w:vAlign w:val="center"/>
          </w:tcPr>
          <w:p>
            <w:pPr>
              <w:spacing w:after="40" w:before="40"/>
            </w:pPr>
            <w:r>
              <w:t>Budget</w:t>
            </w:r>
          </w:p>
        </w:tc>
        <w:tc>
          <w:tcPr>
            <w:tcW w:type="dxa" w:w="5040"/>
            <w:vAlign w:val="center"/>
          </w:tcPr>
          <w:p>
            <w:pPr>
              <w:spacing w:after="40" w:before="40"/>
            </w:pPr>
            <w:r>
              <w:t>Bedrooms / bathrooms</w:t>
            </w:r>
          </w:p>
        </w:tc>
      </w:tr>
      <w:tr>
        <w:tc>
          <w:tcPr>
            <w:tcW w:type="dxa" w:w="5040"/>
            <w:vAlign w:val="center"/>
          </w:tcPr>
          <w:p>
            <w:pPr>
              <w:spacing w:after="40" w:before="40"/>
            </w:pPr>
            <w:r>
              <w:t>Investment Strategy</w:t>
            </w:r>
          </w:p>
        </w:tc>
        <w:tc>
          <w:tcPr>
            <w:tcW w:type="dxa" w:w="5040"/>
            <w:vAlign w:val="center"/>
          </w:tcPr>
          <w:p>
            <w:pPr>
              <w:spacing w:after="40" w:before="40"/>
            </w:pPr>
            <w:r>
              <w:t>Tenure</w:t>
            </w:r>
          </w:p>
        </w:tc>
      </w:tr>
      <w:tr>
        <w:tc>
          <w:tcPr>
            <w:tcW w:type="dxa" w:w="5040"/>
            <w:vAlign w:val="center"/>
          </w:tcPr>
          <w:p>
            <w:pPr>
              <w:spacing w:after="40" w:before="40"/>
            </w:pPr>
            <w:r>
              <w:t>Search</w:t>
            </w:r>
          </w:p>
        </w:tc>
        <w:tc>
          <w:tcPr>
            <w:tcW w:type="dxa" w:w="5040"/>
            <w:vAlign w:val="center"/>
          </w:tcPr>
          <w:p>
            <w:pPr>
              <w:spacing w:after="40" w:before="40"/>
            </w:pPr>
            <w:r>
              <w:t>Min / max price</w:t>
            </w:r>
          </w:p>
        </w:tc>
      </w:tr>
      <w:tr>
        <w:tc>
          <w:tcPr>
            <w:tcW w:type="dxa" w:w="5040"/>
            <w:vAlign w:val="center"/>
          </w:tcPr>
          <w:p>
            <w:pPr>
              <w:spacing w:after="40" w:before="40"/>
            </w:pPr>
            <w:r/>
          </w:p>
        </w:tc>
        <w:tc>
          <w:tcPr>
            <w:tcW w:type="dxa" w:w="5040"/>
            <w:vAlign w:val="center"/>
          </w:tcPr>
          <w:p>
            <w:pPr>
              <w:spacing w:after="40" w:before="40"/>
            </w:pPr>
            <w:r>
              <w:t>Minimum gross yield</w:t>
            </w:r>
          </w:p>
        </w:tc>
      </w:tr>
      <w:tr>
        <w:tc>
          <w:tcPr>
            <w:tcW w:type="dxa" w:w="5040"/>
            <w:vAlign w:val="center"/>
          </w:tcPr>
          <w:p>
            <w:pPr>
              <w:spacing w:after="40" w:before="40"/>
            </w:pPr>
            <w:r/>
          </w:p>
        </w:tc>
        <w:tc>
          <w:tcPr>
            <w:tcW w:type="dxa" w:w="5040"/>
            <w:vAlign w:val="center"/>
          </w:tcPr>
          <w:p>
            <w:pPr>
              <w:spacing w:after="40" w:before="40"/>
            </w:pPr>
            <w:r>
              <w:t>Minimum BMV %</w:t>
            </w:r>
          </w:p>
        </w:tc>
      </w:tr>
      <w:tr>
        <w:tc>
          <w:tcPr>
            <w:tcW w:type="dxa" w:w="5040"/>
            <w:vAlign w:val="center"/>
          </w:tcPr>
          <w:p>
            <w:pPr>
              <w:spacing w:after="40" w:before="40"/>
            </w:pPr>
            <w:r/>
          </w:p>
        </w:tc>
        <w:tc>
          <w:tcPr>
            <w:tcW w:type="dxa" w:w="5040"/>
            <w:vAlign w:val="center"/>
          </w:tcPr>
          <w:p>
            <w:pPr>
              <w:spacing w:after="40" w:before="40"/>
            </w:pPr>
            <w:r>
              <w:t>Rental income / other approved investment criteria</w:t>
            </w:r>
          </w:p>
        </w:tc>
      </w:tr>
    </w:tbl>
    <w:p>
      <w:r>
        <w:t>BMV should remain one useful investment criterion, but it should not become the defining feature of Asancha. The platform should continue to support multiple investment strategies and sourcing requirements.</w:t>
      </w:r>
    </w:p>
    <w:p>
      <w:pPr>
        <w:pStyle w:val="Heading1"/>
      </w:pPr>
      <w:r>
        <w:t>6. P2 – Customer-Facing Terminology</w:t>
      </w:r>
    </w:p>
    <w:p>
      <w:r>
        <w:t>Use “Find Properties”, “Property Opportunities”, “Search Properties” and “Sort Properties” in the customer-facing interface where appropriate. The technical URL /marketplace can remain if changing it creates unnecessary development work. “Marketplace” can also remain as an internal/domain term.</w:t>
      </w:r>
    </w:p>
    <w:p>
      <w:pPr>
        <w:pStyle w:val="Heading1"/>
      </w:pPr>
      <w:r>
        <w:t>7. P2 – Improve the Zero-Results Experience</w:t>
      </w:r>
    </w:p>
    <w:p>
      <w:r>
        <w:t>A zero-result search should help the user continue rather than presenting a dead end.</w:t>
      </w:r>
    </w:p>
    <w:p>
      <w:pPr/>
      <w:r>
        <w:t>Recommended empty state:</w:t>
      </w:r>
    </w:p>
    <w:p>
      <w:r>
        <w:rPr>
          <w:b/>
        </w:rPr>
        <w:t>No opportunities match your search yet.</w:t>
      </w:r>
    </w:p>
    <w:p>
      <w:r>
        <w:t>Try widening your location, budget or investment criteria.</w:t>
      </w:r>
    </w:p>
    <w:p>
      <w:r>
        <w:t>Actions: Clear Filters | Change Search</w:t>
      </w:r>
    </w:p>
    <w:p>
      <w:r>
        <w:t>For signed-in investors, consider Save Search as a later capability so they can return to or monitor a sourcing requirement.</w:t>
      </w:r>
    </w:p>
    <w:p>
      <w:pPr>
        <w:pStyle w:val="Heading1"/>
      </w:pPr>
      <w:r>
        <w:t>8. Future Product Opportunity – Property Requirements</w:t>
      </w:r>
    </w:p>
    <w:p>
      <w:r>
        <w:t>Consider a future “Create a Property Requirement” capability when an investor cannot find a suitable opportunity. For example, an investor could specify location, budget, strategy and minimum yield, creating structured demand that can later connect to relevant sourcing workflows.</w:t>
      </w:r>
    </w:p>
    <w:p>
      <w:r>
        <w:t>This fits Asancha’s property-sourcing proposition well, but it should be treated as a roadmap capability rather than a blocker for the current Marketplace page.</w:t>
      </w:r>
    </w:p>
    <w:p>
      <w:pPr>
        <w:pStyle w:val="Heading1"/>
      </w:pPr>
      <w:r>
        <w:t>9. Recommended Final Page Structure</w:t>
      </w:r>
    </w:p>
    <w:p>
      <w:pPr>
        <w:pStyle w:val="ListNumber"/>
      </w:pPr>
      <w:r>
        <w:t>Navigation</w:t>
      </w:r>
    </w:p>
    <w:p>
      <w:pPr>
        <w:pStyle w:val="ListNumber"/>
      </w:pPr>
      <w:r>
        <w:t>Find Property Opportunities – short proposition</w:t>
      </w:r>
    </w:p>
    <w:p>
      <w:pPr>
        <w:pStyle w:val="ListNumber"/>
      </w:pPr>
      <w:r>
        <w:t>Location | Budget | Strategy | Search</w:t>
      </w:r>
    </w:p>
    <w:p>
      <w:pPr>
        <w:pStyle w:val="ListNumber"/>
      </w:pPr>
      <w:r>
        <w:t>Results count + Sort + Filters + Grid/List</w:t>
      </w:r>
    </w:p>
    <w:p>
      <w:pPr>
        <w:pStyle w:val="ListNumber"/>
      </w:pPr>
      <w:r>
        <w:t>Property opportunity cards</w:t>
      </w:r>
    </w:p>
    <w:p>
      <w:pPr>
        <w:pStyle w:val="ListNumber"/>
      </w:pPr>
      <w:r>
        <w:t>Pagination / Load More</w:t>
      </w:r>
    </w:p>
    <w:p>
      <w:pPr>
        <w:pStyle w:val="ListNumber"/>
      </w:pPr>
      <w:r>
        <w:t>Optional future: Can’t find what you’re looking for? Create a Property Requirement</w:t>
      </w:r>
    </w:p>
    <w:p>
      <w:pPr>
        <w:pStyle w:val="ListNumber"/>
      </w:pPr>
      <w:r>
        <w:t>Small protected-information / trust notice</w:t>
      </w:r>
    </w:p>
    <w:p>
      <w:pPr>
        <w:pStyle w:val="ListNumber"/>
      </w:pPr>
      <w:r>
        <w:t>Footer</w:t>
      </w:r>
    </w:p>
    <w:p>
      <w:pPr>
        <w:pStyle w:val="Heading1"/>
      </w:pPr>
      <w:r>
        <w:t>10. Delivery Priorities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AF0F8"/>
          </w:tcPr>
          <w:p>
            <w:r>
              <w:rPr>
                <w:b/>
              </w:rPr>
              <w:t>Priority</w:t>
            </w:r>
          </w:p>
        </w:tc>
        <w:tc>
          <w:tcPr>
            <w:tcW w:type="dxa" w:w="3360"/>
            <w:shd w:fill="EAF0F8"/>
          </w:tcPr>
          <w:p>
            <w:r>
              <w:rPr>
                <w:b/>
              </w:rPr>
              <w:t>Change</w:t>
            </w:r>
          </w:p>
        </w:tc>
        <w:tc>
          <w:tcPr>
            <w:tcW w:type="dxa" w:w="3360"/>
            <w:shd w:fill="EAF0F8"/>
          </w:tcPr>
          <w:p>
            <w:r>
              <w:rPr>
                <w:b/>
              </w:rPr>
              <w:t>Expected Outcome</w:t>
            </w:r>
          </w:p>
        </w:tc>
      </w:tr>
      <w:tr>
        <w:tc>
          <w:tcPr>
            <w:tcW w:type="dxa" w:w="3360"/>
          </w:tcPr>
          <w:p>
            <w:r>
              <w:t>P1</w:t>
            </w:r>
          </w:p>
        </w:tc>
        <w:tc>
          <w:tcPr>
            <w:tcW w:type="dxa" w:w="3360"/>
          </w:tcPr>
          <w:p>
            <w:r>
              <w:t>Move search/results much higher</w:t>
            </w:r>
          </w:p>
        </w:tc>
        <w:tc>
          <w:tcPr>
            <w:tcW w:type="dxa" w:w="3360"/>
          </w:tcPr>
          <w:p>
            <w:r>
              <w:t>Users reach property discovery immediately</w:t>
            </w:r>
          </w:p>
        </w:tc>
      </w:tr>
      <w:tr>
        <w:tc>
          <w:tcPr>
            <w:tcW w:type="dxa" w:w="3360"/>
          </w:tcPr>
          <w:p>
            <w:r>
              <w:t>P1</w:t>
            </w:r>
          </w:p>
        </w:tc>
        <w:tc>
          <w:tcPr>
            <w:tcW w:type="dxa" w:w="3360"/>
          </w:tcPr>
          <w:p>
            <w:r>
              <w:t>Consolidate explanatory sections</w:t>
            </w:r>
          </w:p>
        </w:tc>
        <w:tc>
          <w:tcPr>
            <w:tcW w:type="dxa" w:w="3360"/>
          </w:tcPr>
          <w:p>
            <w:r>
              <w:t>Shorter, task-focused page</w:t>
            </w:r>
          </w:p>
        </w:tc>
      </w:tr>
      <w:tr>
        <w:tc>
          <w:tcPr>
            <w:tcW w:type="dxa" w:w="3360"/>
          </w:tcPr>
          <w:p>
            <w:r>
              <w:t>P1</w:t>
            </w:r>
          </w:p>
        </w:tc>
        <w:tc>
          <w:tcPr>
            <w:tcW w:type="dxa" w:w="3360"/>
          </w:tcPr>
          <w:p>
            <w:r>
              <w:t>Strengthen investment-focused result cards</w:t>
            </w:r>
          </w:p>
        </w:tc>
        <w:tc>
          <w:tcPr>
            <w:tcW w:type="dxa" w:w="3360"/>
          </w:tcPr>
          <w:p>
            <w:r>
              <w:t>Clearer Asancha differentiation</w:t>
            </w:r>
          </w:p>
        </w:tc>
      </w:tr>
      <w:tr>
        <w:tc>
          <w:tcPr>
            <w:tcW w:type="dxa" w:w="3360"/>
          </w:tcPr>
          <w:p>
            <w:r>
              <w:t>P2</w:t>
            </w:r>
          </w:p>
        </w:tc>
        <w:tc>
          <w:tcPr>
            <w:tcW w:type="dxa" w:w="3360"/>
          </w:tcPr>
          <w:p>
            <w:r>
              <w:t>Simplify visible search + advanced filters</w:t>
            </w:r>
          </w:p>
        </w:tc>
        <w:tc>
          <w:tcPr>
            <w:tcW w:type="dxa" w:w="3360"/>
          </w:tcPr>
          <w:p>
            <w:r>
              <w:t>Lower cognitive load</w:t>
            </w:r>
          </w:p>
        </w:tc>
      </w:tr>
      <w:tr>
        <w:tc>
          <w:tcPr>
            <w:tcW w:type="dxa" w:w="3360"/>
          </w:tcPr>
          <w:p>
            <w:r>
              <w:t>P2</w:t>
            </w:r>
          </w:p>
        </w:tc>
        <w:tc>
          <w:tcPr>
            <w:tcW w:type="dxa" w:w="3360"/>
          </w:tcPr>
          <w:p>
            <w:r>
              <w:t>Standardise customer-facing terminology</w:t>
            </w:r>
          </w:p>
        </w:tc>
        <w:tc>
          <w:tcPr>
            <w:tcW w:type="dxa" w:w="3360"/>
          </w:tcPr>
          <w:p>
            <w:r>
              <w:t>Stronger sourcing positioning</w:t>
            </w:r>
          </w:p>
        </w:tc>
      </w:tr>
      <w:tr>
        <w:tc>
          <w:tcPr>
            <w:tcW w:type="dxa" w:w="3360"/>
          </w:tcPr>
          <w:p>
            <w:r>
              <w:t>P2</w:t>
            </w:r>
          </w:p>
        </w:tc>
        <w:tc>
          <w:tcPr>
            <w:tcW w:type="dxa" w:w="3360"/>
          </w:tcPr>
          <w:p>
            <w:r>
              <w:t>Improve zero-results state</w:t>
            </w:r>
          </w:p>
        </w:tc>
        <w:tc>
          <w:tcPr>
            <w:tcW w:type="dxa" w:w="3360"/>
          </w:tcPr>
          <w:p>
            <w:r>
              <w:t>Reduce abandonment</w:t>
            </w:r>
          </w:p>
        </w:tc>
      </w:tr>
      <w:tr>
        <w:tc>
          <w:tcPr>
            <w:tcW w:type="dxa" w:w="3360"/>
          </w:tcPr>
          <w:p>
            <w:r>
              <w:t>P2</w:t>
            </w:r>
          </w:p>
        </w:tc>
        <w:tc>
          <w:tcPr>
            <w:tcW w:type="dxa" w:w="3360"/>
          </w:tcPr>
          <w:p>
            <w:r>
              <w:t>Personalised match information after sign-in</w:t>
            </w:r>
          </w:p>
        </w:tc>
        <w:tc>
          <w:tcPr>
            <w:tcW w:type="dxa" w:w="3360"/>
          </w:tcPr>
          <w:p>
            <w:r>
              <w:t>More valuable investor experience</w:t>
            </w:r>
          </w:p>
        </w:tc>
      </w:tr>
      <w:tr>
        <w:tc>
          <w:tcPr>
            <w:tcW w:type="dxa" w:w="3360"/>
          </w:tcPr>
          <w:p>
            <w:r>
              <w:t>Future</w:t>
            </w:r>
          </w:p>
        </w:tc>
        <w:tc>
          <w:tcPr>
            <w:tcW w:type="dxa" w:w="3360"/>
          </w:tcPr>
          <w:p>
            <w:r>
              <w:t>Create / Save Property Requirement</w:t>
            </w:r>
          </w:p>
        </w:tc>
        <w:tc>
          <w:tcPr>
            <w:tcW w:type="dxa" w:w="3360"/>
          </w:tcPr>
          <w:p>
            <w:r>
              <w:t>Convert unmet search into sourcing demand</w:t>
            </w:r>
          </w:p>
        </w:tc>
      </w:tr>
    </w:tbl>
    <w:p>
      <w:pPr>
        <w:pStyle w:val="Heading1"/>
      </w:pPr>
      <w:r>
        <w:t>11. Important Implementation Principle</w:t>
      </w:r>
    </w:p>
    <w:p>
      <w:pPr>
        <w:pStyle w:val="Callout"/>
      </w:pPr>
      <w:r>
        <w:t xml:space="preserve">Do not remove Asancha’s public-safe/protected-access rules. </w:t>
      </w:r>
      <w:r>
        <w:t>The improvement required is progressive disclosure: enforce and explain protected access when the user reaches a protected action, rather than placing extensive governance explanations before property discovery.</w:t>
      </w:r>
    </w:p>
    <w:p>
      <w:pPr>
        <w:pStyle w:val="Heading1"/>
      </w:pPr>
      <w:r>
        <w:t>12. Approval Direction</w:t>
      </w:r>
    </w:p>
    <w:p>
      <w:r>
        <w:t>The Marketplace / Find Properties page should now be refined around one primary user goal: finding and evaluating relevant property opportunities quickly. Do not add more explanatory sections. Reduce friction, make listings dominant, preserve the underlying business rules, and move detailed explanations to the appropriate supporting pages.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Asancha – Developer UX Feedback | Find Properties / Marketplace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pPr>
    <w:rPr>
      <w:rFonts w:ascii="Aptos" w:hAnsi="Aptos"/>
      <w:b/>
      <w:color w:val="1736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