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395C"/>
          <w:sz w:val="56"/>
        </w:rPr>
        <w:t>ASANCHA</w:t>
      </w:r>
    </w:p>
    <w:p>
      <w:pPr>
        <w:jc w:val="center"/>
      </w:pPr>
      <w:r>
        <w:rPr>
          <w:b/>
          <w:sz w:val="36"/>
        </w:rPr>
        <w:t>API Partners Page — Outstanding UX Feedback</w:t>
      </w:r>
    </w:p>
    <w:p>
      <w:pPr>
        <w:jc w:val="center"/>
      </w:pPr>
      <w:r>
        <w:t>Developer implementation and sign-off brief | 8 October 2026</w:t>
      </w:r>
    </w:p>
    <w:p>
      <w:r>
        <w:rPr>
          <w:b w:val="0"/>
        </w:rPr>
        <w:t>Page reviewed: https://asancha.vercel.app/api-partners</w:t>
      </w:r>
    </w:p>
    <w:p>
      <w:pPr>
        <w:pStyle w:val="Heading1"/>
      </w:pPr>
      <w:r>
        <w:t>1. Overall assessment</w:t>
      </w:r>
    </w:p>
    <w:p>
      <w:r>
        <w:rPr>
          <w:b w:val="0"/>
        </w:rPr>
        <w:t>Partially aligned with the original brief; not ready for UX sign-off. The live page has strong security and approval information, but the value of integration is less tangible than the process of obtaining access. It presents ten onboarding steps and multiple technical-control sections without a concrete integration example, developer experience preview or partner workspace demonstration.</w:t>
      </w:r>
    </w:p>
    <w:p>
      <w:r>
        <w:rPr>
          <w:b w:val="0"/>
        </w:rPr>
        <w:t>Maintain Asancha’s identity as a property sourcing platform. API partnerships are a controlled extension of its sourcing and intelligence capabilities, not a replacement for its core property sourcing proposition.</w:t>
      </w:r>
    </w:p>
    <w:p>
      <w:pPr>
        <w:pStyle w:val="Heading1"/>
      </w:pPr>
      <w:r>
        <w:t>2. Current implementation gap assessment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Requirement</w:t>
            </w:r>
          </w:p>
        </w:tc>
        <w:tc>
          <w:tcPr>
            <w:tcW w:type="dxa" w:w="3312"/>
          </w:tcPr>
          <w:p>
            <w:r>
              <w:t>Assessment</w:t>
            </w:r>
          </w:p>
        </w:tc>
        <w:tc>
          <w:tcPr>
            <w:tcW w:type="dxa" w:w="3312"/>
          </w:tcPr>
          <w:p>
            <w:r>
              <w:t>Developer action</w:t>
            </w:r>
          </w:p>
        </w:tc>
      </w:tr>
      <w:tr>
        <w:tc>
          <w:tcPr>
            <w:tcW w:type="dxa" w:w="3312"/>
          </w:tcPr>
          <w:p>
            <w:r>
              <w:t>B2B API partner hero</w:t>
            </w:r>
          </w:p>
        </w:tc>
        <w:tc>
          <w:tcPr>
            <w:tcW w:type="dxa" w:w="3312"/>
          </w:tcPr>
          <w:p>
            <w:r>
              <w:t>Partial</w:t>
            </w:r>
          </w:p>
        </w:tc>
        <w:tc>
          <w:tcPr>
            <w:tcW w:type="dxa" w:w="3312"/>
          </w:tcPr>
          <w:p>
            <w:r>
              <w:t>Replace generic “Bring property intelligence into your App” with a clearer property-sourcing integration proposition.</w:t>
            </w:r>
          </w:p>
        </w:tc>
      </w:tr>
      <w:tr>
        <w:tc>
          <w:tcPr>
            <w:tcW w:type="dxa" w:w="3312"/>
          </w:tcPr>
          <w:p>
            <w:r>
              <w:t>Clear primary CTA</w:t>
            </w:r>
          </w:p>
        </w:tc>
        <w:tc>
          <w:tcPr>
            <w:tcW w:type="dxa" w:w="3312"/>
          </w:tcPr>
          <w:p>
            <w:r>
              <w:t>Present</w:t>
            </w:r>
          </w:p>
        </w:tc>
        <w:tc>
          <w:tcPr>
            <w:tcW w:type="dxa" w:w="3312"/>
          </w:tcPr>
          <w:p>
            <w:r>
              <w:t>Retain Apply for API Access; keep Check Application Status secondary.</w:t>
            </w:r>
          </w:p>
        </w:tc>
      </w:tr>
      <w:tr>
        <w:tc>
          <w:tcPr>
            <w:tcW w:type="dxa" w:w="3312"/>
          </w:tcPr>
          <w:p>
            <w:r>
              <w:t>Concrete use cases</w:t>
            </w:r>
          </w:p>
        </w:tc>
        <w:tc>
          <w:tcPr>
            <w:tcW w:type="dxa" w:w="3312"/>
          </w:tcPr>
          <w:p>
            <w:r>
              <w:t>Missing / not evident</w:t>
            </w:r>
          </w:p>
        </w:tc>
        <w:tc>
          <w:tcPr>
            <w:tcW w:type="dxa" w:w="3312"/>
          </w:tcPr>
          <w:p>
            <w:r>
              <w:t>Add 3–4 grounded integration examples, explicitly subject to approved capabilities.</w:t>
            </w:r>
          </w:p>
        </w:tc>
      </w:tr>
      <w:tr>
        <w:tc>
          <w:tcPr>
            <w:tcW w:type="dxa" w:w="3312"/>
          </w:tcPr>
          <w:p>
            <w:r>
              <w:t>Partner audience categories</w:t>
            </w:r>
          </w:p>
        </w:tc>
        <w:tc>
          <w:tcPr>
            <w:tcW w:type="dxa" w:w="3312"/>
          </w:tcPr>
          <w:p>
            <w:r>
              <w:t>Present as list</w:t>
            </w:r>
          </w:p>
        </w:tc>
        <w:tc>
          <w:tcPr>
            <w:tcW w:type="dxa" w:w="3312"/>
          </w:tcPr>
          <w:p>
            <w:r>
              <w:t>Convert to scannable cards and show relevant benefits.</w:t>
            </w:r>
          </w:p>
        </w:tc>
      </w:tr>
      <w:tr>
        <w:tc>
          <w:tcPr>
            <w:tcW w:type="dxa" w:w="3312"/>
          </w:tcPr>
          <w:p>
            <w:r>
              <w:t>Simple customer-facing journey</w:t>
            </w:r>
          </w:p>
        </w:tc>
        <w:tc>
          <w:tcPr>
            <w:tcW w:type="dxa" w:w="3312"/>
          </w:tcPr>
          <w:p>
            <w:r>
              <w:t>Not done</w:t>
            </w:r>
          </w:p>
        </w:tc>
        <w:tc>
          <w:tcPr>
            <w:tcW w:type="dxa" w:w="3312"/>
          </w:tcPr>
          <w:p>
            <w:r>
              <w:t>Replace 10 marketing steps with 4–5 phases; keep technical detail in help/docs.</w:t>
            </w:r>
          </w:p>
        </w:tc>
      </w:tr>
      <w:tr>
        <w:tc>
          <w:tcPr>
            <w:tcW w:type="dxa" w:w="3312"/>
          </w:tcPr>
          <w:p>
            <w:r>
              <w:t>API capability preview</w:t>
            </w:r>
          </w:p>
        </w:tc>
        <w:tc>
          <w:tcPr>
            <w:tcW w:type="dxa" w:w="3312"/>
          </w:tcPr>
          <w:p>
            <w:r>
              <w:t>Partial</w:t>
            </w:r>
          </w:p>
        </w:tc>
        <w:tc>
          <w:tcPr>
            <w:tcW w:type="dxa" w:w="3312"/>
          </w:tcPr>
          <w:p>
            <w:r>
              <w:t>Show what selected approved services enable; avoid invented endpoints.</w:t>
            </w:r>
          </w:p>
        </w:tc>
      </w:tr>
      <w:tr>
        <w:tc>
          <w:tcPr>
            <w:tcW w:type="dxa" w:w="3312"/>
          </w:tcPr>
          <w:p>
            <w:r>
              <w:t>Developer experience / sandbox</w:t>
            </w:r>
          </w:p>
        </w:tc>
        <w:tc>
          <w:tcPr>
            <w:tcW w:type="dxa" w:w="3312"/>
          </w:tcPr>
          <w:p>
            <w:r>
              <w:t>Not evident</w:t>
            </w:r>
          </w:p>
        </w:tc>
        <w:tc>
          <w:tcPr>
            <w:tcW w:type="dxa" w:w="3312"/>
          </w:tcPr>
          <w:p>
            <w:r>
              <w:t>Show a documentation/test environment preview only if available or planned and labelled.</w:t>
            </w:r>
          </w:p>
        </w:tc>
      </w:tr>
      <w:tr>
        <w:tc>
          <w:tcPr>
            <w:tcW w:type="dxa" w:w="3312"/>
          </w:tcPr>
          <w:p>
            <w:r>
              <w:t>App/partner workspace preview</w:t>
            </w:r>
          </w:p>
        </w:tc>
        <w:tc>
          <w:tcPr>
            <w:tcW w:type="dxa" w:w="3312"/>
          </w:tcPr>
          <w:p>
            <w:r>
              <w:t>Not evident</w:t>
            </w:r>
          </w:p>
        </w:tc>
        <w:tc>
          <w:tcPr>
            <w:tcW w:type="dxa" w:w="3312"/>
          </w:tcPr>
          <w:p>
            <w:r>
              <w:t>Show apps, scopes, keys, usage and webhook status in a visual mock-up.</w:t>
            </w:r>
          </w:p>
        </w:tc>
      </w:tr>
      <w:tr>
        <w:tc>
          <w:tcPr>
            <w:tcW w:type="dxa" w:w="3312"/>
          </w:tcPr>
          <w:p>
            <w:r>
              <w:t>Security, scoped access, key management</w:t>
            </w:r>
          </w:p>
        </w:tc>
        <w:tc>
          <w:tcPr>
            <w:tcW w:type="dxa" w:w="3312"/>
          </w:tcPr>
          <w:p>
            <w:r>
              <w:t>Present</w:t>
            </w:r>
          </w:p>
        </w:tc>
        <w:tc>
          <w:tcPr>
            <w:tcW w:type="dxa" w:w="3312"/>
          </w:tcPr>
          <w:p>
            <w:r>
              <w:t>Keep accurate controls but consolidate repeated technical explanations.</w:t>
            </w:r>
          </w:p>
        </w:tc>
      </w:tr>
      <w:tr>
        <w:tc>
          <w:tcPr>
            <w:tcW w:type="dxa" w:w="3312"/>
          </w:tcPr>
          <w:p>
            <w:r>
              <w:t>Webhooks</w:t>
            </w:r>
          </w:p>
        </w:tc>
        <w:tc>
          <w:tcPr>
            <w:tcW w:type="dxa" w:w="3312"/>
          </w:tcPr>
          <w:p>
            <w:r>
              <w:t>Present as text</w:t>
            </w:r>
          </w:p>
        </w:tc>
        <w:tc>
          <w:tcPr>
            <w:tcW w:type="dxa" w:w="3312"/>
          </w:tcPr>
          <w:p>
            <w:r>
              <w:t>Show an event-flow illustration; only claim supported events.</w:t>
            </w:r>
          </w:p>
        </w:tc>
      </w:tr>
      <w:tr>
        <w:tc>
          <w:tcPr>
            <w:tcW w:type="dxa" w:w="3312"/>
          </w:tcPr>
          <w:p>
            <w:r>
              <w:t>FAQs and closing CTA</w:t>
            </w:r>
          </w:p>
        </w:tc>
        <w:tc>
          <w:tcPr>
            <w:tcW w:type="dxa" w:w="3312"/>
          </w:tcPr>
          <w:p>
            <w:r>
              <w:t>Present</w:t>
            </w:r>
          </w:p>
        </w:tc>
        <w:tc>
          <w:tcPr>
            <w:tcW w:type="dxa" w:w="3312"/>
          </w:tcPr>
          <w:p>
            <w:r>
              <w:t>Retain; add documentation, approval times and testing questions only if answers are known.</w:t>
            </w:r>
          </w:p>
        </w:tc>
      </w:tr>
    </w:tbl>
    <w:p>
      <w:pPr>
        <w:pStyle w:val="Heading1"/>
      </w:pPr>
      <w:r>
        <w:t>3. P0 — Required before page sign-off</w:t>
      </w:r>
    </w:p>
    <w:p>
      <w:pPr>
        <w:pStyle w:val="Heading2"/>
      </w:pPr>
      <w:r>
        <w:t>P0.1 — Rewrite the hero for immediate clarity</w:t>
      </w:r>
    </w:p>
    <w:p>
      <w:r>
        <w:rPr>
          <w:b/>
        </w:rPr>
        <w:t>Suggested eyebrow: ASANCHA API PARTNERSHIPS</w:t>
      </w:r>
    </w:p>
    <w:p>
      <w:r>
        <w:rPr>
          <w:b/>
        </w:rPr>
        <w:t>Suggested headline: Connect Your Platform to Asancha Property Sourcing Capabilities</w:t>
      </w:r>
    </w:p>
    <w:p>
      <w:r>
        <w:rPr>
          <w:b w:val="0"/>
        </w:rPr>
        <w:t>Suggested copy: Apply to integrate approved Asancha property sourcing and intelligence capabilities into your product or internal system, with app-specific permissions and controlled access.</w:t>
      </w:r>
    </w:p>
    <w:p>
      <w:r>
        <w:rPr>
          <w:b w:val="0"/>
        </w:rPr>
        <w:t>Primary CTA: Apply for API Access   |   Secondary CTA: Explore Integration Use Cases</w:t>
      </w:r>
    </w:p>
    <w:p>
      <w:r>
        <w:rPr>
          <w:b w:val="0"/>
        </w:rPr>
        <w:t>Keep “Check Application Status” as a smaller utility link near the CTA or in the application section. Do not suggest immediate or automatic production access.</w:t>
      </w:r>
    </w:p>
    <w:p>
      <w:pPr>
        <w:pStyle w:val="Heading2"/>
      </w:pPr>
      <w:r>
        <w:t>P0.2 — Replace the ten-step public journey</w:t>
      </w:r>
    </w:p>
    <w:p>
      <w:r>
        <w:rPr>
          <w:b w:val="0"/>
        </w:rPr>
        <w:t>01 Explore &amp; Apply — Describe your organisation, proposed application, use case and requested capabilities.</w:t>
      </w:r>
    </w:p>
    <w:p>
      <w:r>
        <w:rPr>
          <w:b w:val="0"/>
        </w:rPr>
        <w:t>02 Review &amp; Approval — Asancha reviews the organisation, application, purpose and requested access.</w:t>
      </w:r>
    </w:p>
    <w:p>
      <w:r>
        <w:rPr>
          <w:b w:val="0"/>
        </w:rPr>
        <w:t>03 Configure &amp; Test — Once eligible, configure the approved app, permissions, credentials and integration; test through supported facilities.</w:t>
      </w:r>
    </w:p>
    <w:p>
      <w:r>
        <w:rPr>
          <w:b w:val="0"/>
        </w:rPr>
        <w:t>04 Launch &amp; Monitor — Complete applicable policies/subscription requirements, activate approved production access and monitor usage/events.</w:t>
      </w:r>
    </w:p>
    <w:p>
      <w:r>
        <w:rPr>
          <w:b w:val="0"/>
        </w:rPr>
        <w:t>Keep the existing detailed sequence (decision, app activation, policy acceptance, subscription, key creation, documentation, webhooks, testing) in onboarding documentation or a collapsible technical checklist. The simplified journey must not bypass those gates.</w:t>
      </w:r>
    </w:p>
    <w:p>
      <w:pPr>
        <w:pStyle w:val="Heading2"/>
      </w:pPr>
      <w:r>
        <w:t>P0.3 — Show what partners can build</w:t>
      </w:r>
    </w:p>
    <w:p>
      <w:pPr>
        <w:pStyle w:val="ListBullet"/>
      </w:pPr>
      <w:r>
        <w:t>Property sourcing platform: display permitted opportunity data within an approved external workflow.</w:t>
      </w:r>
    </w:p>
    <w:p>
      <w:pPr>
        <w:pStyle w:val="ListBullet"/>
      </w:pPr>
      <w:r>
        <w:t>Investor platform: use authorised property information to support research or discovery experiences.</w:t>
      </w:r>
    </w:p>
    <w:p>
      <w:pPr>
        <w:pStyle w:val="ListBullet"/>
      </w:pPr>
      <w:r>
        <w:t>Property analytics tool: incorporate selected approved property intelligence outputs.</w:t>
      </w:r>
    </w:p>
    <w:p>
      <w:pPr>
        <w:pStyle w:val="ListBullet"/>
      </w:pPr>
      <w:r>
        <w:t>Enterprise property team: connect an approved internal workflow to permitted Asancha services.</w:t>
      </w:r>
    </w:p>
    <w:p>
      <w:r>
        <w:rPr>
          <w:b w:val="0"/>
        </w:rPr>
        <w:t>These are illustrative integration use cases, not a claim that particular endpoints, datasets or commercial licences are live. Confirm actual availability with the product/API owner before publishing.</w:t>
      </w:r>
    </w:p>
    <w:p>
      <w:pPr>
        <w:pStyle w:val="Heading2"/>
      </w:pPr>
      <w:r>
        <w:t>P0.4 — Add a visual API App workspace</w:t>
      </w:r>
    </w:p>
    <w:p>
      <w:r>
        <w:rPr>
          <w:b w:val="0"/>
        </w:rPr>
        <w:t>Mock-up layout: App name | Environment | Approval status | Approved scopes | API key prefix/status | Usage | Webhook delivery status | Last activity.</w:t>
      </w:r>
    </w:p>
    <w:p>
      <w:r>
        <w:rPr>
          <w:b w:val="0"/>
        </w:rPr>
        <w:t>Use a clearly labelled illustrative mock-up unless a real approved screenshot is available. Never show full credentials, private endpoints or internal error traces.</w:t>
      </w:r>
    </w:p>
    <w:p>
      <w:pPr>
        <w:pStyle w:val="Heading2"/>
      </w:pPr>
      <w:r>
        <w:t>P0.5 — Demonstrate a controlled integration flow</w:t>
      </w:r>
    </w:p>
    <w:p>
      <w:r>
        <w:rPr>
          <w:b w:val="0"/>
        </w:rPr>
        <w:t>Illustrative flow: Partner organisation → approved API App → app-specific credentials/scopes → permitted Asancha property service → approved data returned. For webhooks: approved event → signed notification → partner HTTPS endpoint → delivery status/retry handling.</w:t>
      </w:r>
    </w:p>
    <w:p>
      <w:r>
        <w:rPr>
          <w:b w:val="0"/>
        </w:rPr>
        <w:t>Do not show unrestricted data access or claim that subscribing, paying or creating an app independently grants permission.</w:t>
      </w:r>
    </w:p>
    <w:p>
      <w:pPr>
        <w:pStyle w:val="Heading1"/>
      </w:pPr>
      <w:r>
        <w:t>4. P1 — Important improvements</w:t>
      </w:r>
    </w:p>
    <w:p>
      <w:pPr>
        <w:pStyle w:val="ListBullet"/>
      </w:pPr>
      <w:r>
        <w:t>Replace the plain list of partner types with visual cards: PropTech, property sourcing systems, investor platforms, property analytics, management systems and enterprise property teams.</w:t>
      </w:r>
    </w:p>
    <w:p>
      <w:pPr>
        <w:pStyle w:val="ListBullet"/>
      </w:pPr>
      <w:r>
        <w:t>Condense benefits into four cards: Extend Your Product; Controlled Access; App-Level Management; Event-Driven Updates.</w:t>
      </w:r>
    </w:p>
    <w:p>
      <w:pPr>
        <w:pStyle w:val="ListBullet"/>
      </w:pPr>
      <w:r>
        <w:t>Combine “Access by permission”, “Secure App authentication” and “Shared security” into a shorter trust section with expandable technical detail.</w:t>
      </w:r>
    </w:p>
    <w:p>
      <w:pPr>
        <w:pStyle w:val="ListBullet"/>
      </w:pPr>
      <w:r>
        <w:t>Give documentation and integration support a visible route; only link to actual public or approved partner resources.</w:t>
      </w:r>
    </w:p>
    <w:p>
      <w:pPr>
        <w:pStyle w:val="ListBullet"/>
      </w:pPr>
      <w:r>
        <w:t>Add FAQs on eligibility, available capabilities, sandbox/testing, approval criteria, subscription, scope changes, rate limits and support where confirmed answers exist.</w:t>
      </w:r>
    </w:p>
    <w:p>
      <w:pPr>
        <w:pStyle w:val="ListBullet"/>
      </w:pPr>
      <w:r>
        <w:t>Ensure responsive layouts for use-case cards, partner journey, integration flow and app dashboard.</w:t>
      </w:r>
    </w:p>
    <w:p>
      <w:pPr>
        <w:pStyle w:val="Heading1"/>
      </w:pPr>
      <w:r>
        <w:t>5. Recommended final page order</w:t>
      </w:r>
    </w:p>
    <w:p>
      <w:r>
        <w:rPr>
          <w:b/>
        </w:rPr>
        <w:t>Hero → What You Can Build → Who It’s For → Four-Step Integration Journey → API App Workspace Preview → Capabilities &amp; Event Flow → Security &amp; Permissions → Documentation / Developer Resources → FAQs → Apply for API Access.</w:t>
      </w:r>
    </w:p>
    <w:p>
      <w:pPr>
        <w:pStyle w:val="Heading1"/>
      </w:pPr>
      <w:r>
        <w:t>6. Business rules and security guardrails</w:t>
      </w:r>
    </w:p>
    <w:p>
      <w:pPr>
        <w:pStyle w:val="ListBullet"/>
      </w:pPr>
      <w:r>
        <w:t>An application does not create an App, approve scopes, activate billing, issue a key or grant production access.</w:t>
      </w:r>
    </w:p>
    <w:p>
      <w:pPr>
        <w:pStyle w:val="ListBullet"/>
      </w:pPr>
      <w:r>
        <w:t>Organisation approval and individual API App approval are separate controls.</w:t>
      </w:r>
    </w:p>
    <w:p>
      <w:pPr>
        <w:pStyle w:val="ListBullet"/>
      </w:pPr>
      <w:r>
        <w:t>Access is limited by app, environment, scopes, subscription/status, data classification and applicable policies/legal basis.</w:t>
      </w:r>
    </w:p>
    <w:p>
      <w:pPr>
        <w:pStyle w:val="ListBullet"/>
      </w:pPr>
      <w:r>
        <w:t>Private owner, investor, tenant, document, payment and internal review data must not be exposed outside approved access.</w:t>
      </w:r>
    </w:p>
    <w:p>
      <w:pPr>
        <w:pStyle w:val="ListBullet"/>
      </w:pPr>
      <w:r>
        <w:t>Full API key secrets must not be shown after creation; do not embed them in browser code or source control.</w:t>
      </w:r>
    </w:p>
    <w:p>
      <w:pPr>
        <w:pStyle w:val="ListBullet"/>
      </w:pPr>
      <w:r>
        <w:t>Webhook events and API capabilities should be advertised only when actually supported and approved.</w:t>
      </w:r>
    </w:p>
    <w:p>
      <w:pPr>
        <w:pStyle w:val="ListBullet"/>
      </w:pPr>
      <w:r>
        <w:t>Avoid invented API endpoint names, rate limits, SLAs, pricing, launch dates or sandbox availability.</w:t>
      </w:r>
    </w:p>
    <w:p>
      <w:pPr>
        <w:pStyle w:val="ListBullet"/>
      </w:pPr>
      <w:r>
        <w:t>AI/property intelligence outputs are decision support; do not imply they independently verify facts or guarantee investment outcomes.</w:t>
      </w:r>
    </w:p>
    <w:p>
      <w:pPr>
        <w:pStyle w:val="Heading1"/>
      </w:pPr>
      <w:r>
        <w:t>7. Acceptance criteria / sign-off checklist</w:t>
      </w:r>
    </w:p>
    <w:p>
      <w:pPr>
        <w:pStyle w:val="ListBullet"/>
      </w:pPr>
      <w:r>
        <w:t>Within five seconds a B2B visitor understands what Asancha integration offers and the next action.</w:t>
      </w:r>
    </w:p>
    <w:p>
      <w:pPr>
        <w:pStyle w:val="ListBullet"/>
      </w:pPr>
      <w:r>
        <w:t>Primary Apply for API Access CTA is visible on desktop and mobile.</w:t>
      </w:r>
    </w:p>
    <w:p>
      <w:pPr>
        <w:pStyle w:val="ListBullet"/>
      </w:pPr>
      <w:r>
        <w:t>Four-stage public partner journey replaces the ten-step marketing list, without removing actual backend gates.</w:t>
      </w:r>
    </w:p>
    <w:p>
      <w:pPr>
        <w:pStyle w:val="ListBullet"/>
      </w:pPr>
      <w:r>
        <w:t>At least three approved/accurately labelled use-case examples are visually demonstrated.</w:t>
      </w:r>
    </w:p>
    <w:p>
      <w:pPr>
        <w:pStyle w:val="ListBullet"/>
      </w:pPr>
      <w:r>
        <w:t>An API App workspace and permissioned integration flow are visually demonstrated.</w:t>
      </w:r>
    </w:p>
    <w:p>
      <w:pPr>
        <w:pStyle w:val="ListBullet"/>
      </w:pPr>
      <w:r>
        <w:t>Security details remain correct but do not dominate the page.</w:t>
      </w:r>
    </w:p>
    <w:p>
      <w:pPr>
        <w:pStyle w:val="ListBullet"/>
      </w:pPr>
      <w:r>
        <w:t>All visual features are responsive and keyboard-accessible.</w:t>
      </w:r>
    </w:p>
    <w:p>
      <w:pPr>
        <w:pStyle w:val="ListBullet"/>
      </w:pPr>
      <w:r>
        <w:t>Developer supplies desktop/mobile screenshots and confirms each advertised capability exists or is explicitly labelled as planned.</w:t>
      </w:r>
    </w:p>
    <w:p>
      <w:pPr>
        <w:pStyle w:val="Heading1"/>
      </w:pPr>
      <w:r>
        <w:t>8. Developer response requested</w:t>
      </w:r>
    </w:p>
    <w:p>
      <w:r>
        <w:rPr>
          <w:b w:val="0"/>
        </w:rPr>
        <w:t>Please confirm each P0/P1 item as Implemented / In Progress / Blocked / Not in Current Release, identify any unavailable API capabilities, and provide screenshots of the hero, use-case section, four-step journey, API App workspace and security section before requesting sign-off.</w:t>
      </w:r>
    </w:p>
    <w:p>
      <w:r>
        <w:rPr>
          <w:b w:val="0"/>
        </w:rPr>
        <w:t>Review basis: Live publicly accessible page content checked 8 October 2026. Visual/mock-up recommendations are proposed UX changes, not evidence that those features currently exist.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9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4F7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