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jc w:val="center"/>
      </w:pPr>
      <w:r>
        <w:rPr>
          <w:b/>
          <w:color w:val="14365B"/>
          <w:sz w:val="48"/>
        </w:rPr>
        <w:t>ASANCHA</w:t>
      </w:r>
    </w:p>
    <w:p>
      <w:pPr>
        <w:jc w:val="center"/>
      </w:pPr>
      <w:r>
        <w:rPr>
          <w:b/>
        </w:rPr>
        <w:t>Investor Journey Page — Outstanding UX Feedback</w:t>
      </w:r>
    </w:p>
    <w:p>
      <w:pPr>
        <w:jc w:val="center"/>
      </w:pPr>
      <w:r>
        <w:t>Developer follow-up | 8 October 2026 | /solutions/investors</w:t>
      </w:r>
    </w:p>
    <w:p>
      <w:pPr>
        <w:pStyle w:val="Heading1"/>
      </w:pPr>
      <w:r>
        <w:t>Purpose and sign-off recommendation</w:t>
      </w:r>
    </w:p>
    <w:p>
      <w:r>
        <w:t>This document consolidates the outstanding changes identified in the latest review of the Asancha Investor page against the earlier investor UX brief. The page has a clear investor-specific hero, benefits, trust content and FAQs, but the principal sourcing and evaluation capabilities still need to be demonstrated visually. Do not sign off the page until the P0 items below have been implemented and checked on desktop and mobile.</w:t>
      </w:r>
    </w:p>
    <w:p>
      <w:pPr>
        <w:pStyle w:val="Heading1"/>
      </w:pPr>
      <w:r>
        <w:t>P0 — Required before sign-off</w:t>
      </w:r>
    </w:p>
    <w:p>
      <w:pPr>
        <w:pStyle w:val="Heading2"/>
      </w:pPr>
      <w:r>
        <w:t>1. Make Explore Properties the primary hero action</w:t>
      </w:r>
    </w:p>
    <w:p>
      <w:r>
        <w:t>Retain the investor-focused headline. Set “Explore Properties” as the primary CTA and “Create Investor Profile” as secondary. Visitors should be able to browse public opportunities before registration; protected actions may require sign-in or verification.</w:t>
      </w:r>
    </w:p>
    <w:p>
      <w:pPr>
        <w:pStyle w:val="Heading2"/>
      </w:pPr>
      <w:r>
        <w:t>2. Show sourced properties immediately after the hero</w:t>
      </w:r>
    </w:p>
    <w:p>
      <w:r>
        <w:t>Add 3–4 published opportunity cards and a “View All Properties” link. Show property image, general location, asking price, strategy and properly labelled indicators where available. Do not expose restricted information.</w:t>
      </w:r>
    </w:p>
    <w:p>
      <w:pPr>
        <w:pStyle w:val="Heading2"/>
      </w:pPr>
      <w:r>
        <w:t>3. Replace technical six-step onboarding with three customer stages</w:t>
      </w:r>
    </w:p>
    <w:p>
      <w:r>
        <w:t>Use: (1) Tell Us What You’re Looking For; (2) Discover &amp; Evaluate Opportunities; (3) Verify &amp; Progress. Keep account/email verification steps inside onboarding rather than making them the main public journey.</w:t>
      </w:r>
    </w:p>
    <w:p>
      <w:pPr>
        <w:pStyle w:val="Heading2"/>
      </w:pPr>
      <w:r>
        <w:t>4. Add a visual personalised-match example</w:t>
      </w:r>
    </w:p>
    <w:p>
      <w:r>
        <w:t>Show why a sample opportunity aligns with stated location, budget, strategy, yield and refurbishment preferences. Clearly label illustrative data and distinguish facts, calculations, estimates and AI/matching insights. Never imply a match score guarantees suitability.</w:t>
      </w:r>
    </w:p>
    <w:p>
      <w:pPr>
        <w:pStyle w:val="Heading2"/>
      </w:pPr>
      <w:r>
        <w:t>5. Add a property comparison preview</w:t>
      </w:r>
    </w:p>
    <w:p>
      <w:r>
        <w:t>Demonstrate side-by-side comparison of 2–3 opportunities with asking price, strategy, gross yield, refurbishment and match rationale. Ensure labels and data provenance are clear.</w:t>
      </w:r>
    </w:p>
    <w:p>
      <w:pPr>
        <w:pStyle w:val="Heading2"/>
      </w:pPr>
      <w:r>
        <w:t>6. Add an investor workspace preview</w:t>
      </w:r>
    </w:p>
    <w:p>
      <w:r>
        <w:t>Show a dashboard-style preview with Saved Properties, Matches, Alerts, Comparisons and Opportunities Progressing. Use only approved or implemented modules and statuses.</w:t>
      </w:r>
    </w:p>
    <w:p>
      <w:pPr>
        <w:pStyle w:val="Heading1"/>
      </w:pPr>
      <w:r>
        <w:t>P1 — Content and presentation improvements</w:t>
      </w:r>
    </w:p>
    <w:p>
      <w:pPr>
        <w:pStyle w:val="Heading2"/>
      </w:pPr>
      <w:r>
        <w:t>Consolidate investor criteria</w:t>
      </w:r>
    </w:p>
    <w:p>
      <w:r>
        <w:t>Merge repeated budget, location, strategy, yield and property-type explanations into one “Tell Us What You’re Looking For” component.</w:t>
      </w:r>
    </w:p>
    <w:p>
      <w:pPr>
        <w:pStyle w:val="Heading2"/>
      </w:pPr>
      <w:r>
        <w:t>Reduce repetitive copy</w:t>
      </w:r>
    </w:p>
    <w:p>
      <w:r>
        <w:t>Condense lengthy problem, benefit and feature explanations; target a materially shorter page without removing essential trust information.</w:t>
      </w:r>
    </w:p>
    <w:p>
      <w:pPr>
        <w:pStyle w:val="Heading2"/>
      </w:pPr>
      <w:r>
        <w:t>Make trust language easier to understand</w:t>
      </w:r>
    </w:p>
    <w:p>
      <w:r>
        <w:t>Use a plain-English heading such as “Clear Information. No False Promises.” Keep FAQs and clarify protected deal packs, verification and due diligence.</w:t>
      </w:r>
    </w:p>
    <w:p>
      <w:pPr>
        <w:pStyle w:val="Heading2"/>
      </w:pPr>
      <w:r>
        <w:t>Check mobile UX</w:t>
      </w:r>
    </w:p>
    <w:p>
      <w:r>
        <w:t>Ensure primary CTA, property cards, three-step journey, matching, comparison and workspace previews are easy to use on small screens.</w:t>
      </w:r>
    </w:p>
    <w:p>
      <w:pPr>
        <w:pStyle w:val="Heading1"/>
      </w:pPr>
      <w:r>
        <w:t>Recommended final page order</w:t>
      </w:r>
    </w:p>
    <w:p>
      <w:r>
        <w:t>Hero → Sourced Opportunities → Three-Step Investor Journey → Why Asancha → Personalised Match Example → Compare Opportunities → Investor Workspace → Trust &amp; Verification → FAQs → Final CTA</w:t>
      </w:r>
    </w:p>
    <w:p>
      <w:pPr>
        <w:pStyle w:val="Heading1"/>
      </w:pPr>
      <w:r>
        <w:t>Implementation status from latest assessment</w:t>
      </w:r>
    </w:p>
    <w:tbl>
      <w:tblPr>
        <w:tblStyle w:val="LightShading-Accent1"/>
        <w:tblW w:type="auto" w:w="0"/>
        <w:tblLook w:firstColumn="1" w:firstRow="1" w:lastColumn="0" w:lastRow="0" w:noHBand="0" w:noVBand="1" w:val="04A0"/>
      </w:tblPr>
      <w:tblGrid>
        <w:gridCol w:w="4320"/>
        <w:gridCol w:w="4320"/>
      </w:tblGrid>
      <w:tr>
        <w:tc>
          <w:tcPr>
            <w:tcW w:type="dxa" w:w="4320"/>
          </w:tcPr>
          <w:p>
            <w:r>
              <w:t>Item</w:t>
            </w:r>
          </w:p>
        </w:tc>
        <w:tc>
          <w:tcPr>
            <w:tcW w:type="dxa" w:w="4320"/>
          </w:tcPr>
          <w:p>
            <w:r>
              <w:t>Assessment</w:t>
            </w:r>
          </w:p>
        </w:tc>
      </w:tr>
      <w:tr>
        <w:tc>
          <w:tcPr>
            <w:tcW w:type="dxa" w:w="4320"/>
          </w:tcPr>
          <w:p>
            <w:r>
              <w:t>Investor-focused hero</w:t>
            </w:r>
          </w:p>
        </w:tc>
        <w:tc>
          <w:tcPr>
            <w:tcW w:type="dxa" w:w="4320"/>
          </w:tcPr>
          <w:p>
            <w:r>
              <w:t>Present</w:t>
            </w:r>
          </w:p>
        </w:tc>
      </w:tr>
      <w:tr>
        <w:tc>
          <w:tcPr>
            <w:tcW w:type="dxa" w:w="4320"/>
          </w:tcPr>
          <w:p>
            <w:r>
              <w:t>Explore Properties primary CTA</w:t>
            </w:r>
          </w:p>
        </w:tc>
        <w:tc>
          <w:tcPr>
            <w:tcW w:type="dxa" w:w="4320"/>
          </w:tcPr>
          <w:p>
            <w:r>
              <w:t>Outstanding</w:t>
            </w:r>
          </w:p>
        </w:tc>
      </w:tr>
      <w:tr>
        <w:tc>
          <w:tcPr>
            <w:tcW w:type="dxa" w:w="4320"/>
          </w:tcPr>
          <w:p>
            <w:r>
              <w:t>Early sourced-property cards</w:t>
            </w:r>
          </w:p>
        </w:tc>
        <w:tc>
          <w:tcPr>
            <w:tcW w:type="dxa" w:w="4320"/>
          </w:tcPr>
          <w:p>
            <w:r>
              <w:t>Not evident</w:t>
            </w:r>
          </w:p>
        </w:tc>
      </w:tr>
      <w:tr>
        <w:tc>
          <w:tcPr>
            <w:tcW w:type="dxa" w:w="4320"/>
          </w:tcPr>
          <w:p>
            <w:r>
              <w:t>Three-step customer journey</w:t>
            </w:r>
          </w:p>
        </w:tc>
        <w:tc>
          <w:tcPr>
            <w:tcW w:type="dxa" w:w="4320"/>
          </w:tcPr>
          <w:p>
            <w:r>
              <w:t>Outstanding</w:t>
            </w:r>
          </w:p>
        </w:tc>
      </w:tr>
      <w:tr>
        <w:tc>
          <w:tcPr>
            <w:tcW w:type="dxa" w:w="4320"/>
          </w:tcPr>
          <w:p>
            <w:r>
              <w:t>Four investor benefits</w:t>
            </w:r>
          </w:p>
        </w:tc>
        <w:tc>
          <w:tcPr>
            <w:tcW w:type="dxa" w:w="4320"/>
          </w:tcPr>
          <w:p>
            <w:r>
              <w:t>Present</w:t>
            </w:r>
          </w:p>
        </w:tc>
      </w:tr>
      <w:tr>
        <w:tc>
          <w:tcPr>
            <w:tcW w:type="dxa" w:w="4320"/>
          </w:tcPr>
          <w:p>
            <w:r>
              <w:t>Consolidated criteria</w:t>
            </w:r>
          </w:p>
        </w:tc>
        <w:tc>
          <w:tcPr>
            <w:tcW w:type="dxa" w:w="4320"/>
          </w:tcPr>
          <w:p>
            <w:r>
              <w:t>Outstanding</w:t>
            </w:r>
          </w:p>
        </w:tc>
      </w:tr>
      <w:tr>
        <w:tc>
          <w:tcPr>
            <w:tcW w:type="dxa" w:w="4320"/>
          </w:tcPr>
          <w:p>
            <w:r>
              <w:t>Visual match example</w:t>
            </w:r>
          </w:p>
        </w:tc>
        <w:tc>
          <w:tcPr>
            <w:tcW w:type="dxa" w:w="4320"/>
          </w:tcPr>
          <w:p>
            <w:r>
              <w:t>Not evident</w:t>
            </w:r>
          </w:p>
        </w:tc>
      </w:tr>
      <w:tr>
        <w:tc>
          <w:tcPr>
            <w:tcW w:type="dxa" w:w="4320"/>
          </w:tcPr>
          <w:p>
            <w:r>
              <w:t>Comparison preview</w:t>
            </w:r>
          </w:p>
        </w:tc>
        <w:tc>
          <w:tcPr>
            <w:tcW w:type="dxa" w:w="4320"/>
          </w:tcPr>
          <w:p>
            <w:r>
              <w:t>Not evident</w:t>
            </w:r>
          </w:p>
        </w:tc>
      </w:tr>
      <w:tr>
        <w:tc>
          <w:tcPr>
            <w:tcW w:type="dxa" w:w="4320"/>
          </w:tcPr>
          <w:p>
            <w:r>
              <w:t>Workspace preview</w:t>
            </w:r>
          </w:p>
        </w:tc>
        <w:tc>
          <w:tcPr>
            <w:tcW w:type="dxa" w:w="4320"/>
          </w:tcPr>
          <w:p>
            <w:r>
              <w:t>Not evident</w:t>
            </w:r>
          </w:p>
        </w:tc>
      </w:tr>
      <w:tr>
        <w:tc>
          <w:tcPr>
            <w:tcW w:type="dxa" w:w="4320"/>
          </w:tcPr>
          <w:p>
            <w:r>
              <w:t>Trust information and FAQs</w:t>
            </w:r>
          </w:p>
        </w:tc>
        <w:tc>
          <w:tcPr>
            <w:tcW w:type="dxa" w:w="4320"/>
          </w:tcPr>
          <w:p>
            <w:r>
              <w:t>Present</w:t>
            </w:r>
          </w:p>
        </w:tc>
      </w:tr>
    </w:tbl>
    <w:p>
      <w:r>
        <w:t>Note: “Not evident” reflects the earlier page-content assessment and should be confirmed in a full browser QA pass, particularly for dynamically loaded components.</w:t>
      </w:r>
    </w:p>
    <w:p>
      <w:pPr>
        <w:pStyle w:val="Heading1"/>
      </w:pPr>
      <w:r>
        <w:t>Product and trust guardrails</w:t>
      </w:r>
    </w:p>
    <w:p>
      <w:pPr>
        <w:pStyle w:val="ListBullet"/>
      </w:pPr>
      <w:r>
        <w:t>Publication is not verification; publication is not reservation eligibility.</w:t>
      </w:r>
    </w:p>
    <w:p>
      <w:pPr>
        <w:pStyle w:val="ListBullet"/>
      </w:pPr>
      <w:r>
        <w:t>Saving a property is not reservation; reservation is not purchase or completion.</w:t>
      </w:r>
    </w:p>
    <w:p>
      <w:pPr>
        <w:pStyle w:val="ListBullet"/>
      </w:pPr>
      <w:r>
        <w:t>AI insight and matching are decision support, not property facts or guarantees.</w:t>
      </w:r>
    </w:p>
    <w:p>
      <w:pPr>
        <w:pStyle w:val="ListBullet"/>
      </w:pPr>
      <w:r>
        <w:t>Facts, calculations, estimates, professional opinions, verification outputs and AI insights must be labelled distinctly.</w:t>
      </w:r>
    </w:p>
    <w:p>
      <w:pPr>
        <w:pStyle w:val="ListBullet"/>
      </w:pPr>
      <w:r>
        <w:t>No guaranteed yield, return, valuation, financing or transaction outcome.</w:t>
      </w:r>
    </w:p>
    <w:p>
      <w:pPr>
        <w:pStyle w:val="ListBullet"/>
      </w:pPr>
      <w:r>
        <w:t>Restricted deal information must follow approved access and verification rules.</w:t>
      </w:r>
    </w:p>
    <w:p>
      <w:pPr>
        <w:pStyle w:val="Heading1"/>
      </w:pPr>
      <w:r>
        <w:t>Acceptance criteria and requested evidence</w:t>
      </w:r>
    </w:p>
    <w:p>
      <w:pPr>
        <w:pStyle w:val="ListBullet"/>
      </w:pPr>
      <w:r>
        <w:t>Visitor understands Asancha’s investor property-sourcing proposition within approximately five seconds.</w:t>
      </w:r>
    </w:p>
    <w:p>
      <w:pPr>
        <w:pStyle w:val="ListBullet"/>
      </w:pPr>
      <w:r>
        <w:t>Explore Properties is primary; real published opportunities appear near the top.</w:t>
      </w:r>
    </w:p>
    <w:p>
      <w:pPr>
        <w:pStyle w:val="ListBullet"/>
      </w:pPr>
      <w:r>
        <w:t>Three-stage investor journey is in place.</w:t>
      </w:r>
    </w:p>
    <w:p>
      <w:pPr>
        <w:pStyle w:val="ListBullet"/>
      </w:pPr>
      <w:r>
        <w:t>Visual matching, comparison and investor workspace previews are present.</w:t>
      </w:r>
    </w:p>
    <w:p>
      <w:pPr>
        <w:pStyle w:val="ListBullet"/>
      </w:pPr>
      <w:r>
        <w:t>Repeated criteria sections are consolidated and page copy is streamlined.</w:t>
      </w:r>
    </w:p>
    <w:p>
      <w:pPr>
        <w:pStyle w:val="ListBullet"/>
      </w:pPr>
      <w:r>
        <w:t>Desktop and mobile screenshots are provided for hero, cards, journey, match, comparison and workspace.</w:t>
      </w:r>
    </w:p>
    <w:p>
      <w:pPr>
        <w:pStyle w:val="ListBullet"/>
      </w:pPr>
      <w:r>
        <w:t>All CTAs route correctly and protected information remains controlled.</w:t>
      </w:r>
    </w:p>
    <w:p>
      <w:r>
        <w:t>Developer request: Please implement the P0 items first, confirm any P1 dependencies or features not yet available, and share desktop/mobile evidence for final review.</w:t>
      </w:r>
    </w:p>
    <w:sectPr w:rsidR="00FC693F" w:rsidRPr="0006063C" w:rsidSect="00034616">
      <w:pgSz w:w="12240" w:h="15840"/>
      <w:pgMar w:top="1008" w:right="1800" w:bottom="1008"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rPr>
      <w:rFonts w:ascii="Aptos" w:hAnsi="Aptos"/>
      <w:sz w:val="20"/>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ascii="Aptos" w:hAnsi="Aptos"/>
      <w:b/>
      <w:bCs/>
      <w:color w:val="14365B"/>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ascii="Aptos" w:hAnsi="Aptos"/>
      <w:b/>
      <w:bCs/>
      <w:color w:val="14365B"/>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