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65B"/>
          <w:sz w:val="50"/>
        </w:rPr>
        <w:t>ASANCHA</w:t>
      </w:r>
    </w:p>
    <w:p>
      <w:pPr>
        <w:jc w:val="center"/>
      </w:pPr>
      <w:r>
        <w:rPr>
          <w:b/>
          <w:sz w:val="34"/>
        </w:rPr>
        <w:t>Property Agent Page | Outstanding UX Feedback</w:t>
      </w:r>
    </w:p>
    <w:p>
      <w:pPr>
        <w:jc w:val="center"/>
      </w:pPr>
      <w:r>
        <w:t>Developer follow-up and implementation acceptance brief | 8 October 2026</w:t>
      </w:r>
    </w:p>
    <w:p>
      <w:pPr>
        <w:pStyle w:val="Heading1"/>
      </w:pPr>
      <w:r>
        <w:t>Review verdict</w:t>
      </w:r>
    </w:p>
    <w:p>
      <w:r>
        <w:t>Status: PARTIALLY IMPLEMENTED — NOT READY FOR SIGN-OFF. The current live page has strong material on client authority, multi-property management, listing review, investor matching, and protected information. However, the core visual and customer-facing journey improvements from the earlier brief remain outstanding. This assessment is based on the publicly accessible page content; verify dynamically rendered visual elements separately.</w:t>
      </w:r>
    </w:p>
    <w:p>
      <w:r>
        <w:t>Reviewed URL: https://asancha.vercel.app/solutions/property-agents</w:t>
      </w:r>
    </w:p>
    <w:p>
      <w:pPr>
        <w:pStyle w:val="Heading1"/>
      </w:pPr>
      <w:r>
        <w:t>Implementation gap tracker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Requested change</w:t>
            </w:r>
          </w:p>
        </w:tc>
        <w:tc>
          <w:tcPr>
            <w:tcW w:type="dxa" w:w="2880"/>
          </w:tcPr>
          <w:p>
            <w:r>
              <w:t>Observed status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Clear agent-specific hero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Replace operational wording with agent value; make primary CTA clear.</w:t>
            </w:r>
          </w:p>
        </w:tc>
      </w:tr>
      <w:tr>
        <w:tc>
          <w:tcPr>
            <w:tcW w:type="dxa" w:w="2880"/>
          </w:tcPr>
          <w:p>
            <w:r>
              <w:t>Four-stage agent journey</w:t>
            </w:r>
          </w:p>
        </w:tc>
        <w:tc>
          <w:tcPr>
            <w:tcW w:type="dxa" w:w="2880"/>
          </w:tcPr>
          <w:p>
            <w:r>
              <w:t>Not done</w:t>
            </w:r>
          </w:p>
        </w:tc>
        <w:tc>
          <w:tcPr>
            <w:tcW w:type="dxa" w:w="2880"/>
          </w:tcPr>
          <w:p>
            <w:r>
              <w:t>Replace six technical onboarding steps on public page.</w:t>
            </w:r>
          </w:p>
        </w:tc>
      </w:tr>
      <w:tr>
        <w:tc>
          <w:tcPr>
            <w:tcW w:type="dxa" w:w="2880"/>
          </w:tcPr>
          <w:p>
            <w:r>
              <w:t>Multi-property agent dashboard preview</w:t>
            </w:r>
          </w:p>
        </w:tc>
        <w:tc>
          <w:tcPr>
            <w:tcW w:type="dxa" w:w="2880"/>
          </w:tcPr>
          <w:p>
            <w:r>
              <w:t>Not evident</w:t>
            </w:r>
          </w:p>
        </w:tc>
        <w:tc>
          <w:tcPr>
            <w:tcW w:type="dxa" w:w="2880"/>
          </w:tcPr>
          <w:p>
            <w:r>
              <w:t>Add visual workspace with client properties, enquiries, review states.</w:t>
            </w:r>
          </w:p>
        </w:tc>
      </w:tr>
      <w:tr>
        <w:tc>
          <w:tcPr>
            <w:tcW w:type="dxa" w:w="2880"/>
          </w:tcPr>
          <w:p>
            <w:r>
              <w:t>Property listing preview</w:t>
            </w:r>
          </w:p>
        </w:tc>
        <w:tc>
          <w:tcPr>
            <w:tcW w:type="dxa" w:w="2880"/>
          </w:tcPr>
          <w:p>
            <w:r>
              <w:t>Not evident</w:t>
            </w:r>
          </w:p>
        </w:tc>
        <w:tc>
          <w:tcPr>
            <w:tcW w:type="dxa" w:w="2880"/>
          </w:tcPr>
          <w:p>
            <w:r>
              <w:t>Show what approved client stock looks like to investors.</w:t>
            </w:r>
          </w:p>
        </w:tc>
      </w:tr>
      <w:tr>
        <w:tc>
          <w:tcPr>
            <w:tcW w:type="dxa" w:w="2880"/>
          </w:tcPr>
          <w:p>
            <w:r>
              <w:t>Investor discovery/matching example</w:t>
            </w:r>
          </w:p>
        </w:tc>
        <w:tc>
          <w:tcPr>
            <w:tcW w:type="dxa" w:w="2880"/>
          </w:tcPr>
          <w:p>
            <w:r>
              <w:t>Text only</w:t>
            </w:r>
          </w:p>
        </w:tc>
        <w:tc>
          <w:tcPr>
            <w:tcW w:type="dxa" w:w="2880"/>
          </w:tcPr>
          <w:p>
            <w:r>
              <w:t>Add criteria alignment example; no guaranteed demand claims.</w:t>
            </w:r>
          </w:p>
        </w:tc>
      </w:tr>
      <w:tr>
        <w:tc>
          <w:tcPr>
            <w:tcW w:type="dxa" w:w="2880"/>
          </w:tcPr>
          <w:p>
            <w:r>
              <w:t>Client authority safeguards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Retain and simplify; move detailed fields lower.</w:t>
            </w:r>
          </w:p>
        </w:tc>
      </w:tr>
      <w:tr>
        <w:tc>
          <w:tcPr>
            <w:tcW w:type="dxa" w:w="2880"/>
          </w:tcPr>
          <w:p>
            <w:r>
              <w:t>Public vs protected information visual</w:t>
            </w:r>
          </w:p>
        </w:tc>
        <w:tc>
          <w:tcPr>
            <w:tcW w:type="dxa" w:w="2880"/>
          </w:tcPr>
          <w:p>
            <w:r>
              <w:t>Text only</w:t>
            </w:r>
          </w:p>
        </w:tc>
        <w:tc>
          <w:tcPr>
            <w:tcW w:type="dxa" w:w="2880"/>
          </w:tcPr>
          <w:p>
            <w:r>
              <w:t>Add comparison component.</w:t>
            </w:r>
          </w:p>
        </w:tc>
      </w:tr>
      <w:tr>
        <w:tc>
          <w:tcPr>
            <w:tcW w:type="dxa" w:w="2880"/>
          </w:tcPr>
          <w:p>
            <w:r>
              <w:t>Agent vs sourcer routing</w:t>
            </w:r>
          </w:p>
        </w:tc>
        <w:tc>
          <w:tcPr>
            <w:tcW w:type="dxa" w:w="2880"/>
          </w:tcPr>
          <w:p>
            <w:r>
              <w:t>Not evident</w:t>
            </w:r>
          </w:p>
        </w:tc>
        <w:tc>
          <w:tcPr>
            <w:tcW w:type="dxa" w:w="2880"/>
          </w:tcPr>
          <w:p>
            <w:r>
              <w:t>Add short role distinction and link.</w:t>
            </w:r>
          </w:p>
        </w:tc>
      </w:tr>
      <w:tr>
        <w:tc>
          <w:tcPr>
            <w:tcW w:type="dxa" w:w="2880"/>
          </w:tcPr>
          <w:p>
            <w:r>
              <w:t>FAQs and final CTA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Retain; improve CTA priority.</w:t>
            </w:r>
          </w:p>
        </w:tc>
      </w:tr>
      <w:tr>
        <w:tc>
          <w:tcPr>
            <w:tcW w:type="dxa" w:w="2880"/>
          </w:tcPr>
          <w:p>
            <w:r>
              <w:t>Short, benefit-led copy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Reduce repeated technical descriptions.</w:t>
            </w:r>
          </w:p>
        </w:tc>
      </w:tr>
    </w:tbl>
    <w:p>
      <w:pPr>
        <w:pStyle w:val="Heading1"/>
      </w:pPr>
      <w:r>
        <w:t>P0 — Complete before sign-off</w:t>
      </w:r>
    </w:p>
    <w:p>
      <w:pPr>
        <w:pStyle w:val="Heading2"/>
      </w:pPr>
      <w:r>
        <w:t>1. Rewrite the hero</w:t>
      </w:r>
    </w:p>
    <w:p>
      <w:r>
        <w:t>Headline: “Manage Client Properties and Reach Relevant Investors.” Supporting copy: “Submit and manage client property opportunities, keep authority and listing information organised, and progress enquiries through one connected workspace.” Primary CTA: “Join as a Property Agent”; secondary CTA: “See How It Works”. Keep claims grounded in actual product capability.</w:t>
      </w:r>
    </w:p>
    <w:p>
      <w:pPr>
        <w:pStyle w:val="Heading2"/>
      </w:pPr>
      <w:r>
        <w:t>2. Replace six technical steps with four customer-facing stages</w:t>
      </w:r>
    </w:p>
    <w:p>
      <w:r>
        <w:t>01 Set Up Your Agency &amp; Confirm Authority → 02 Add &amp; Submit Client Properties → 03 Review, Publish &amp; Reach Investors → 04 Manage Enquiries &amp; Progress. Retain technical account/profile/authority steps within onboarding, not as the public page’s main narrative.</w:t>
      </w:r>
    </w:p>
    <w:p>
      <w:pPr>
        <w:pStyle w:val="Heading2"/>
      </w:pPr>
      <w:r>
        <w:t>3. Add a multi-property dashboard preview</w:t>
      </w:r>
    </w:p>
    <w:p>
      <w:r>
        <w:t>Show a realistic agent workspace with client stock, draft/under-review/published listings, action-required notices, investor enquiries, viewings and documents. Use approved product states and real components where available; mock data must be labelled.</w:t>
      </w:r>
    </w:p>
    <w:p>
      <w:pPr>
        <w:pStyle w:val="Heading2"/>
      </w:pPr>
      <w:r>
        <w:t>4. Add a property listing preview</w:t>
      </w:r>
    </w:p>
    <w:p>
      <w:r>
        <w:t>Display a sample approved listing card: image, broad location, asking price, property type, key features, permitted investment information and View Property CTA. Do not expose client contact details, authority evidence or protected documents.</w:t>
      </w:r>
    </w:p>
    <w:p>
      <w:pPr>
        <w:pStyle w:val="Heading2"/>
      </w:pPr>
      <w:r>
        <w:t>5. Show investor discovery visually</w:t>
      </w:r>
    </w:p>
    <w:p>
      <w:r>
        <w:t>Demonstrate how a published opportunity may align with investors’ location, budget, strategy and other stated preferences. Explain why it is potentially relevant; do not promise a buyer, viewing, offer or completion.</w:t>
      </w:r>
    </w:p>
    <w:p>
      <w:pPr>
        <w:pStyle w:val="Heading1"/>
      </w:pPr>
      <w:r>
        <w:t>P1 — Important refinements</w:t>
      </w:r>
    </w:p>
    <w:p>
      <w:pPr>
        <w:pStyle w:val="Heading2"/>
      </w:pPr>
      <w:r>
        <w:t>6. Simplify and consolidate copy</w:t>
      </w:r>
    </w:p>
    <w:p>
      <w:r>
        <w:t>Condense “What this role manages,” agent problems, benefits, client representation, listing quality and agent workflow to avoid repeating the same features.</w:t>
      </w:r>
    </w:p>
    <w:p>
      <w:pPr>
        <w:pStyle w:val="Heading2"/>
      </w:pPr>
      <w:r>
        <w:t>7. Public vs protected visual</w:t>
      </w:r>
    </w:p>
    <w:p>
      <w:r>
        <w:t>Use two columns: public listing preview versus controlled owner/tenant contact details, authority agreements, private documents, payment/reservation data and restricted communications.</w:t>
      </w:r>
    </w:p>
    <w:p>
      <w:pPr>
        <w:pStyle w:val="Heading2"/>
      </w:pPr>
      <w:r>
        <w:t>8. Clarify Agent vs Sourcer</w:t>
      </w:r>
    </w:p>
    <w:p>
      <w:r>
        <w:t>Agent: managing client property stock under agency instructions. Sourcer: sourcing/packaging opportunities for investors. Add a short link to the Property Sourcer journey; final permissions depend on actual roles and evidence.</w:t>
      </w:r>
    </w:p>
    <w:p>
      <w:pPr>
        <w:pStyle w:val="Heading2"/>
      </w:pPr>
      <w:r>
        <w:t>9. Move authority detail into trust section</w:t>
      </w:r>
    </w:p>
    <w:p>
      <w:r>
        <w:t>Keep lawful authority, expiry dates, evidence and review controls; make the headline about representing clients confidently, not an administrative checklist.</w:t>
      </w:r>
    </w:p>
    <w:p>
      <w:pPr>
        <w:pStyle w:val="Heading2"/>
      </w:pPr>
      <w:r>
        <w:t>10. Mobile and CTA refinement</w:t>
      </w:r>
    </w:p>
    <w:p>
      <w:r>
        <w:t>Ensure primary CTA appears immediately; journey, listing card, dashboard and public/protected comparison work on small screens. Ask developer for desktop/mobile captures.</w:t>
      </w:r>
    </w:p>
    <w:p>
      <w:pPr>
        <w:pStyle w:val="Heading1"/>
      </w:pPr>
      <w:r>
        <w:t>Recommended page order</w:t>
      </w:r>
    </w:p>
    <w:p>
      <w:r>
        <w:t>Hero → Four-Step Agent Journey → Multi-Property Dashboard → Client Listing Preview → Why Asancha → Investor Discovery → Client Authority &amp; Trust → Public vs Protected → Agent vs Sourcer → FAQs → Final CTA.</w:t>
      </w:r>
    </w:p>
    <w:p>
      <w:pPr>
        <w:pStyle w:val="Heading1"/>
      </w:pPr>
      <w:r>
        <w:t>Mandatory product safeguards</w:t>
      </w:r>
    </w:p>
    <w:p>
      <w:pPr>
        <w:pStyle w:val="ListBullet"/>
      </w:pPr>
      <w:r>
        <w:t>Agency account creation does not establish authority for each client property.</w:t>
      </w:r>
    </w:p>
    <w:p>
      <w:pPr>
        <w:pStyle w:val="ListBullet"/>
      </w:pPr>
      <w:r>
        <w:t>Submitting a property does not automatically approve or publish it.</w:t>
      </w:r>
    </w:p>
    <w:p>
      <w:pPr>
        <w:pStyle w:val="ListBullet"/>
      </w:pPr>
      <w:r>
        <w:t>Publication is not verification and does not itself confer reservation eligibility.</w:t>
      </w:r>
    </w:p>
    <w:p>
      <w:pPr>
        <w:pStyle w:val="ListBullet"/>
      </w:pPr>
      <w:r>
        <w:t>Owner and tenant information, authority evidence, private documents and payment information must follow approved access controls.</w:t>
      </w:r>
    </w:p>
    <w:p>
      <w:pPr>
        <w:pStyle w:val="ListBullet"/>
      </w:pPr>
      <w:r>
        <w:t>Do not guarantee investor interest, sale, viewing, transaction completion or investment returns.</w:t>
      </w:r>
    </w:p>
    <w:p>
      <w:pPr>
        <w:pStyle w:val="ListBullet"/>
      </w:pPr>
      <w:r>
        <w:t>AI matching is decision support, not independent verification or a guaranteed buyer.</w:t>
      </w:r>
    </w:p>
    <w:p>
      <w:pPr>
        <w:pStyle w:val="Heading1"/>
      </w:pPr>
      <w:r>
        <w:t>Acceptance criteria / sign-off request</w:t>
      </w:r>
    </w:p>
    <w:p>
      <w:pPr>
        <w:pStyle w:val="ListBullet"/>
      </w:pPr>
      <w:r>
        <w:t>Hero communicates agent value in five seconds, with a clear primary CTA.</w:t>
      </w:r>
    </w:p>
    <w:p>
      <w:pPr>
        <w:pStyle w:val="ListBullet"/>
      </w:pPr>
      <w:r>
        <w:t>Four-stage customer journey replaces six-step technical marketing journey.</w:t>
      </w:r>
    </w:p>
    <w:p>
      <w:pPr>
        <w:pStyle w:val="ListBullet"/>
      </w:pPr>
      <w:r>
        <w:t>Agent dashboard and client-property listing previews are implemented and responsive.</w:t>
      </w:r>
    </w:p>
    <w:p>
      <w:pPr>
        <w:pStyle w:val="ListBullet"/>
      </w:pPr>
      <w:r>
        <w:t>Investor matching is visually demonstrated with accurate qualifiers.</w:t>
      </w:r>
    </w:p>
    <w:p>
      <w:pPr>
        <w:pStyle w:val="ListBullet"/>
      </w:pPr>
      <w:r>
        <w:t>Client authority, public/private data and publication rules are retained.</w:t>
      </w:r>
    </w:p>
    <w:p>
      <w:pPr>
        <w:pStyle w:val="ListBullet"/>
      </w:pPr>
      <w:r>
        <w:t>Agent vs Sourcer distinction is visible.</w:t>
      </w:r>
    </w:p>
    <w:p>
      <w:pPr>
        <w:pStyle w:val="ListBullet"/>
      </w:pPr>
      <w:r>
        <w:t>Developer provides desktop and mobile screenshots and links for final review.</w:t>
      </w:r>
    </w:p>
    <w:p>
      <w:r>
        <w:t>Please implement the P0 items first and confirm each item with an updated page link and screenshots before requesting final sign-off.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