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6"/>
        </w:rPr>
        <w:t>ASANCHA</w:t>
      </w:r>
    </w:p>
    <w:p>
      <w:pPr>
        <w:jc w:val="center"/>
      </w:pPr>
      <w:r>
        <w:rPr>
          <w:b/>
          <w:sz w:val="34"/>
        </w:rPr>
        <w:t>Service Provider Page — Outstanding UX Feedback</w:t>
      </w:r>
    </w:p>
    <w:p>
      <w:pPr>
        <w:jc w:val="center"/>
      </w:pPr>
      <w:r>
        <w:t>Developer follow-up and acceptance criteria | 8 October 2026</w:t>
      </w:r>
    </w:p>
    <w:p>
      <w:r>
        <w:rPr>
          <w:b w:val="0"/>
        </w:rPr>
        <w:t>Page: https://asancha.vercel.app/solutions/service-providers</w:t>
      </w:r>
    </w:p>
    <w:p>
      <w:pPr>
        <w:pStyle w:val="Heading1"/>
      </w:pPr>
      <w:r>
        <w:t>Executive assessment</w:t>
      </w:r>
    </w:p>
    <w:p>
      <w:r>
        <w:rPr>
          <w:b/>
        </w:rPr>
        <w:t>Status: PARTIALLY IMPLEMENTED — NOT READY FOR UX SIGN-OFF.</w:t>
      </w:r>
    </w:p>
    <w:p>
      <w:r>
        <w:rPr>
          <w:b w:val="0"/>
        </w:rPr>
        <w:t>The current page contains valuable content on service categories, professional evidence, property-linked enquiries, bookings, controlled information and payments. However, it still largely presents these as explanatory text and a six-step system workflow rather than a concise, visual, provider-centred experience. This is an assessment of the accessible page content, not a claim that underlying product functionality is absent.</w:t>
      </w:r>
    </w:p>
    <w:p>
      <w:pPr>
        <w:pStyle w:val="Heading1"/>
      </w:pPr>
      <w:r>
        <w:t>Implementation gap assessment</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Area</w:t>
            </w:r>
          </w:p>
        </w:tc>
        <w:tc>
          <w:tcPr>
            <w:tcW w:type="dxa" w:w="3360"/>
          </w:tcPr>
          <w:p>
            <w:r>
              <w:t>Assessment</w:t>
            </w:r>
          </w:p>
        </w:tc>
        <w:tc>
          <w:tcPr>
            <w:tcW w:type="dxa" w:w="3360"/>
          </w:tcPr>
          <w:p>
            <w:r>
              <w:t>Developer action</w:t>
            </w:r>
          </w:p>
        </w:tc>
      </w:tr>
      <w:tr>
        <w:tc>
          <w:tcPr>
            <w:tcW w:type="dxa" w:w="3360"/>
          </w:tcPr>
          <w:p>
            <w:r>
              <w:t>Hero / primary action</w:t>
            </w:r>
          </w:p>
        </w:tc>
        <w:tc>
          <w:tcPr>
            <w:tcW w:type="dxa" w:w="3360"/>
          </w:tcPr>
          <w:p>
            <w:r>
              <w:t>Partial</w:t>
            </w:r>
          </w:p>
        </w:tc>
        <w:tc>
          <w:tcPr>
            <w:tcW w:type="dxa" w:w="3360"/>
          </w:tcPr>
          <w:p>
            <w:r>
              <w:t>Shorten copy; use “Join as a Service Provider” as the dominant CTA; explain the commercial value immediately.</w:t>
            </w:r>
          </w:p>
        </w:tc>
      </w:tr>
      <w:tr>
        <w:tc>
          <w:tcPr>
            <w:tcW w:type="dxa" w:w="3360"/>
          </w:tcPr>
          <w:p>
            <w:r>
              <w:t>Four-step customer journey</w:t>
            </w:r>
          </w:p>
        </w:tc>
        <w:tc>
          <w:tcPr>
            <w:tcW w:type="dxa" w:w="3360"/>
          </w:tcPr>
          <w:p>
            <w:r>
              <w:t>Outstanding</w:t>
            </w:r>
          </w:p>
        </w:tc>
        <w:tc>
          <w:tcPr>
            <w:tcW w:type="dxa" w:w="3360"/>
          </w:tcPr>
          <w:p>
            <w:r>
              <w:t>Replace public six-step process with Profile → Relevant Checks → Property Enquiries → Manage Work.</w:t>
            </w:r>
          </w:p>
        </w:tc>
      </w:tr>
      <w:tr>
        <w:tc>
          <w:tcPr>
            <w:tcW w:type="dxa" w:w="3360"/>
          </w:tcPr>
          <w:p>
            <w:r>
              <w:t>Service categories</w:t>
            </w:r>
          </w:p>
        </w:tc>
        <w:tc>
          <w:tcPr>
            <w:tcW w:type="dxa" w:w="3360"/>
          </w:tcPr>
          <w:p>
            <w:r>
              <w:t>Partial</w:t>
            </w:r>
          </w:p>
        </w:tc>
        <w:tc>
          <w:tcPr>
            <w:tcW w:type="dxa" w:w="3360"/>
          </w:tcPr>
          <w:p>
            <w:r>
              <w:t>Replace long category list with scannable grouped service cards.</w:t>
            </w:r>
          </w:p>
        </w:tc>
      </w:tr>
      <w:tr>
        <w:tc>
          <w:tcPr>
            <w:tcW w:type="dxa" w:w="3360"/>
          </w:tcPr>
          <w:p>
            <w:r>
              <w:t>Professional profile preview</w:t>
            </w:r>
          </w:p>
        </w:tc>
        <w:tc>
          <w:tcPr>
            <w:tcW w:type="dxa" w:w="3360"/>
          </w:tcPr>
          <w:p>
            <w:r>
              <w:t>Not evident</w:t>
            </w:r>
          </w:p>
        </w:tc>
        <w:tc>
          <w:tcPr>
            <w:tcW w:type="dxa" w:w="3360"/>
          </w:tcPr>
          <w:p>
            <w:r>
              <w:t>Add realistic profile card showing service, coverage, approved credentials and request action.</w:t>
            </w:r>
          </w:p>
        </w:tc>
      </w:tr>
      <w:tr>
        <w:tc>
          <w:tcPr>
            <w:tcW w:type="dxa" w:w="3360"/>
          </w:tcPr>
          <w:p>
            <w:r>
              <w:t>Property-linked enquiry preview</w:t>
            </w:r>
          </w:p>
        </w:tc>
        <w:tc>
          <w:tcPr>
            <w:tcW w:type="dxa" w:w="3360"/>
          </w:tcPr>
          <w:p>
            <w:r>
              <w:t>Not evident</w:t>
            </w:r>
          </w:p>
        </w:tc>
        <w:tc>
          <w:tcPr>
            <w:tcW w:type="dxa" w:w="3360"/>
          </w:tcPr>
          <w:p>
            <w:r>
              <w:t>Show a request connected to a property, with permitted context and response action.</w:t>
            </w:r>
          </w:p>
        </w:tc>
      </w:tr>
      <w:tr>
        <w:tc>
          <w:tcPr>
            <w:tcW w:type="dxa" w:w="3360"/>
          </w:tcPr>
          <w:p>
            <w:r>
              <w:t>Provider dashboard preview</w:t>
            </w:r>
          </w:p>
        </w:tc>
        <w:tc>
          <w:tcPr>
            <w:tcW w:type="dxa" w:w="3360"/>
          </w:tcPr>
          <w:p>
            <w:r>
              <w:t>Not evident</w:t>
            </w:r>
          </w:p>
        </w:tc>
        <w:tc>
          <w:tcPr>
            <w:tcW w:type="dxa" w:w="3360"/>
          </w:tcPr>
          <w:p>
            <w:r>
              <w:t>Show enquiries, bookings, quotes, messages and actions in a single visual workspace.</w:t>
            </w:r>
          </w:p>
        </w:tc>
      </w:tr>
      <w:tr>
        <w:tc>
          <w:tcPr>
            <w:tcW w:type="dxa" w:w="3360"/>
          </w:tcPr>
          <w:p>
            <w:r>
              <w:t>Benefits</w:t>
            </w:r>
          </w:p>
        </w:tc>
        <w:tc>
          <w:tcPr>
            <w:tcW w:type="dxa" w:w="3360"/>
          </w:tcPr>
          <w:p>
            <w:r>
              <w:t>Present; refine</w:t>
            </w:r>
          </w:p>
        </w:tc>
        <w:tc>
          <w:tcPr>
            <w:tcW w:type="dxa" w:w="3360"/>
          </w:tcPr>
          <w:p>
            <w:r>
              <w:t>Condense and focus on relevant requests, professional presence, property context and workflow.</w:t>
            </w:r>
          </w:p>
        </w:tc>
      </w:tr>
      <w:tr>
        <w:tc>
          <w:tcPr>
            <w:tcW w:type="dxa" w:w="3360"/>
          </w:tcPr>
          <w:p>
            <w:r>
              <w:t>Verification and evidence</w:t>
            </w:r>
          </w:p>
        </w:tc>
        <w:tc>
          <w:tcPr>
            <w:tcW w:type="dxa" w:w="3360"/>
          </w:tcPr>
          <w:p>
            <w:r>
              <w:t>Present</w:t>
            </w:r>
          </w:p>
        </w:tc>
        <w:tc>
          <w:tcPr>
            <w:tcW w:type="dxa" w:w="3360"/>
          </w:tcPr>
          <w:p>
            <w:r>
              <w:t>Retain category-specific checks; reposition after the value proposition.</w:t>
            </w:r>
          </w:p>
        </w:tc>
      </w:tr>
      <w:tr>
        <w:tc>
          <w:tcPr>
            <w:tcW w:type="dxa" w:w="3360"/>
          </w:tcPr>
          <w:p>
            <w:r>
              <w:t>Public vs protected information</w:t>
            </w:r>
          </w:p>
        </w:tc>
        <w:tc>
          <w:tcPr>
            <w:tcW w:type="dxa" w:w="3360"/>
          </w:tcPr>
          <w:p>
            <w:r>
              <w:t>Text present; visual outstanding</w:t>
            </w:r>
          </w:p>
        </w:tc>
        <w:tc>
          <w:tcPr>
            <w:tcW w:type="dxa" w:w="3360"/>
          </w:tcPr>
          <w:p>
            <w:r>
              <w:t>Add two-column visual comparison; follow approved access controls.</w:t>
            </w:r>
          </w:p>
        </w:tc>
      </w:tr>
      <w:tr>
        <w:tc>
          <w:tcPr>
            <w:tcW w:type="dxa" w:w="3360"/>
          </w:tcPr>
          <w:p>
            <w:r>
              <w:t>Payment-aware workflows</w:t>
            </w:r>
          </w:p>
        </w:tc>
        <w:tc>
          <w:tcPr>
            <w:tcW w:type="dxa" w:w="3360"/>
          </w:tcPr>
          <w:p>
            <w:r>
              <w:t>Present</w:t>
            </w:r>
          </w:p>
        </w:tc>
        <w:tc>
          <w:tcPr>
            <w:tcW w:type="dxa" w:w="3360"/>
          </w:tcPr>
          <w:p>
            <w:r>
              <w:t>Keep as supporting feature; do not lead with payment proof/status.</w:t>
            </w:r>
          </w:p>
        </w:tc>
      </w:tr>
      <w:tr>
        <w:tc>
          <w:tcPr>
            <w:tcW w:type="dxa" w:w="3360"/>
          </w:tcPr>
          <w:p>
            <w:r>
              <w:t>FAQs and trust</w:t>
            </w:r>
          </w:p>
        </w:tc>
        <w:tc>
          <w:tcPr>
            <w:tcW w:type="dxa" w:w="3360"/>
          </w:tcPr>
          <w:p>
            <w:r>
              <w:t>Present</w:t>
            </w:r>
          </w:p>
        </w:tc>
        <w:tc>
          <w:tcPr>
            <w:tcW w:type="dxa" w:w="3360"/>
          </w:tcPr>
          <w:p>
            <w:r>
              <w:t>Retain and improve order; clarify approval and no-guarantee statements.</w:t>
            </w:r>
          </w:p>
        </w:tc>
      </w:tr>
    </w:tbl>
    <w:p>
      <w:pPr>
        <w:pStyle w:val="Heading1"/>
      </w:pPr>
      <w:r>
        <w:t>P0 — Complete before UX sign-off</w:t>
      </w:r>
    </w:p>
    <w:p>
      <w:pPr>
        <w:pStyle w:val="Heading2"/>
      </w:pPr>
      <w:r>
        <w:t>1. Rewrite and simplify the hero</w:t>
      </w:r>
    </w:p>
    <w:p>
      <w:r>
        <w:rPr>
          <w:b w:val="0"/>
        </w:rPr>
        <w:t>Eyebrow: FOR PROPERTY SERVICE PROVIDERS</w:t>
      </w:r>
    </w:p>
    <w:p>
      <w:r>
        <w:rPr>
          <w:b/>
        </w:rPr>
        <w:t>Headline: Connect Your Property Services with Relevant Clients and Opportunities</w:t>
      </w:r>
    </w:p>
    <w:p>
      <w:r>
        <w:rPr>
          <w:b w:val="0"/>
        </w:rPr>
        <w:t>Supporting copy: Create a professional profile, showcase the services you provide and connect with property-related enquiries from investors, owners, agents and sourcers through Asancha.</w:t>
      </w:r>
    </w:p>
    <w:p>
      <w:r>
        <w:rPr>
          <w:b w:val="0"/>
        </w:rPr>
        <w:t>Primary CTA: Join as a Service Provider | Secondary CTA: Explore Service Categories</w:t>
      </w:r>
    </w:p>
    <w:p>
      <w:pPr>
        <w:pStyle w:val="Heading2"/>
      </w:pPr>
      <w:r>
        <w:t>2. Replace the six-step public journey</w:t>
      </w:r>
    </w:p>
    <w:p>
      <w:pPr>
        <w:pStyle w:val="ListBullet"/>
      </w:pPr>
      <w:r>
        <w:t>01 — Create Your Professional Profile: Describe your services, locations, business and availability.</w:t>
      </w:r>
    </w:p>
    <w:p>
      <w:pPr>
        <w:pStyle w:val="ListBullet"/>
      </w:pPr>
      <w:r>
        <w:t>02 — Complete Relevant Checks: Submit category-specific credentials, insurance or evidence where required.</w:t>
      </w:r>
    </w:p>
    <w:p>
      <w:pPr>
        <w:pStyle w:val="ListBullet"/>
      </w:pPr>
      <w:r>
        <w:t>03 — Connect with Property Needs: Receive or respond to eligible property-linked service enquiries.</w:t>
      </w:r>
    </w:p>
    <w:p>
      <w:pPr>
        <w:pStyle w:val="ListBullet"/>
      </w:pPr>
      <w:r>
        <w:t>04 — Manage Enquiries &amp; Work: Handle conversations, quotes, bookings, documents and permitted payment-related actions.</w:t>
      </w:r>
    </w:p>
    <w:p>
      <w:r>
        <w:rPr>
          <w:b w:val="0"/>
        </w:rPr>
        <w:t>Keep detailed technical onboarding steps inside the application/help content, not as the main marketing narrative.</w:t>
      </w:r>
    </w:p>
    <w:p>
      <w:pPr>
        <w:pStyle w:val="Heading2"/>
      </w:pPr>
      <w:r>
        <w:t>3. Add a visual professional profile preview</w:t>
      </w:r>
    </w:p>
    <w:p>
      <w:r>
        <w:rPr>
          <w:b w:val="0"/>
        </w:rPr>
        <w:t>Illustrative card: “Northampton Property Surveys” | Building surveys | Northamptonshire | Accepting enquiries | Approved credential/status wording only where substantiated | View Profile / Request Service. Use actual product components or clearly label as a mock-up.</w:t>
      </w:r>
    </w:p>
    <w:p>
      <w:pPr>
        <w:pStyle w:val="Heading2"/>
      </w:pPr>
      <w:r>
        <w:t>4. Add a property-linked enquiry example</w:t>
      </w:r>
    </w:p>
    <w:p>
      <w:r>
        <w:rPr>
          <w:b w:val="0"/>
        </w:rPr>
        <w:t>Illustrative request: “Building survey needed — 3-bed house, Manchester” | Preferred date | Request status | permitted property context | Review Enquiry / Respond. This is the key differentiator from a generic business directory. Do not expose private addresses or documents.</w:t>
      </w:r>
    </w:p>
    <w:p>
      <w:pPr>
        <w:pStyle w:val="Heading2"/>
      </w:pPr>
      <w:r>
        <w:t>5. Add a provider workspace preview</w:t>
      </w:r>
    </w:p>
    <w:p>
      <w:r>
        <w:rPr>
          <w:b w:val="0"/>
        </w:rPr>
        <w:t>Demonstrate: New Enquiries | Bookings | Quotes/Proposals | Messages | Documents | Actions Required. Show actual supported statuses and modules; illustrative figures must be marked as examples.</w:t>
      </w:r>
    </w:p>
    <w:p>
      <w:pPr>
        <w:pStyle w:val="Heading2"/>
      </w:pPr>
      <w:r>
        <w:t>6. Make service categories scannable</w:t>
      </w:r>
    </w:p>
    <w:p>
      <w:r>
        <w:rPr>
          <w:b w:val="0"/>
        </w:rPr>
        <w:t>Group approved categories into visual cards, e.g. Legal &amp; Conveyancing; Finance &amp; Funding; Survey &amp; Valuation; Construction &amp; Refurbishment; Property Management; Tax &amp; Accounting; Photography &amp; Floor Plans. Final labels must map to the approved platform taxonomy.</w:t>
      </w:r>
    </w:p>
    <w:p>
      <w:pPr>
        <w:pStyle w:val="Heading1"/>
      </w:pPr>
      <w:r>
        <w:t>P1 — Important improvements</w:t>
      </w:r>
    </w:p>
    <w:p>
      <w:pPr>
        <w:pStyle w:val="ListBullet"/>
      </w:pPr>
      <w:r>
        <w:t>Reduce repetitive copy across “What this role manages”, the problems section, benefits, professional expertise and service workflow. Target a materially shorter page without removing safeguards.</w:t>
      </w:r>
    </w:p>
    <w:p>
      <w:pPr>
        <w:pStyle w:val="ListBullet"/>
      </w:pPr>
      <w:r>
        <w:t>Convert “Trust boundaries” into a visual Public vs Protected Information comparison, grounded in role-based permissions.</w:t>
      </w:r>
    </w:p>
    <w:p>
      <w:pPr>
        <w:pStyle w:val="ListBullet"/>
      </w:pPr>
      <w:r>
        <w:t>Move detailed qualification and document requirements below the benefits and workflow previews; show why checks matter and avoid generic unqualified “verified” claims.</w:t>
      </w:r>
    </w:p>
    <w:p>
      <w:pPr>
        <w:pStyle w:val="ListBullet"/>
      </w:pPr>
      <w:r>
        <w:t>Keep payment-aware actions secondary to enquiries and bookings. Payment proof must not be presented as payment approval.</w:t>
      </w:r>
    </w:p>
    <w:p>
      <w:pPr>
        <w:pStyle w:val="ListBullet"/>
      </w:pPr>
      <w:r>
        <w:t>Expand FAQs to cover coverage area, category eligibility, quotes, bookings and no guaranteed work; use an accordion if appropriate.</w:t>
      </w:r>
    </w:p>
    <w:p>
      <w:pPr>
        <w:pStyle w:val="ListBullet"/>
      </w:pPr>
      <w:r>
        <w:t>Ensure responsive mobile presentation for service cards, profile preview, enquiry preview and workspace.</w:t>
      </w:r>
    </w:p>
    <w:p>
      <w:pPr>
        <w:pStyle w:val="Heading1"/>
      </w:pPr>
      <w:r>
        <w:t>Recommended page order</w:t>
      </w:r>
    </w:p>
    <w:p>
      <w:r>
        <w:rPr>
          <w:b/>
        </w:rPr>
        <w:t>Hero → Four-Step Journey → Service Categories → Professional Profile Preview → Property-Linked Enquiry → Why Asancha → Provider Workspace → Professional Verification → Public vs Protected → Payment-Aware Workflows → FAQs → Final CTA</w:t>
      </w:r>
    </w:p>
    <w:p>
      <w:pPr>
        <w:pStyle w:val="Heading1"/>
      </w:pPr>
      <w:r>
        <w:t>Acceptance criteria / developer evidence</w:t>
      </w:r>
    </w:p>
    <w:p>
      <w:pPr>
        <w:pStyle w:val="ListBullet"/>
      </w:pPr>
      <w:r>
        <w:t>Visitor understands the service-provider value proposition within approximately five seconds.</w:t>
      </w:r>
    </w:p>
    <w:p>
      <w:pPr>
        <w:pStyle w:val="ListBullet"/>
      </w:pPr>
      <w:r>
        <w:t>One obvious primary join CTA; secondary CTA is distinct and useful.</w:t>
      </w:r>
    </w:p>
    <w:p>
      <w:pPr>
        <w:pStyle w:val="ListBullet"/>
      </w:pPr>
      <w:r>
        <w:t>Four customer-facing journey steps replace the current six-step public narrative.</w:t>
      </w:r>
    </w:p>
    <w:p>
      <w:pPr>
        <w:pStyle w:val="ListBullet"/>
      </w:pPr>
      <w:r>
        <w:t>Visual profile, property-linked enquiry and workspace previews are implemented or clearly identified as illustrative.</w:t>
      </w:r>
    </w:p>
    <w:p>
      <w:pPr>
        <w:pStyle w:val="ListBullet"/>
      </w:pPr>
      <w:r>
        <w:t>Service categories are presented as scannable cards rather than a dense list.</w:t>
      </w:r>
    </w:p>
    <w:p>
      <w:pPr>
        <w:pStyle w:val="ListBullet"/>
      </w:pPr>
      <w:r>
        <w:t>Provider approval is not implied merely by account creation; requirements remain category-specific.</w:t>
      </w:r>
    </w:p>
    <w:p>
      <w:pPr>
        <w:pStyle w:val="ListBullet"/>
      </w:pPr>
      <w:r>
        <w:t>No guarantee of enquiries, bookings, revenue or completed work is implied.</w:t>
      </w:r>
    </w:p>
    <w:p>
      <w:pPr>
        <w:pStyle w:val="ListBullet"/>
      </w:pPr>
      <w:r>
        <w:t>Public/private information and payment status distinctions remain accurate.</w:t>
      </w:r>
    </w:p>
    <w:p>
      <w:pPr>
        <w:pStyle w:val="ListBullet"/>
      </w:pPr>
      <w:r>
        <w:t>Developer supplies desktop and mobile screenshots for hero, journey, category cards, profile, enquiry and dashboard, plus links to working CTAs.</w:t>
      </w:r>
    </w:p>
    <w:p>
      <w:pPr>
        <w:pStyle w:val="Heading1"/>
      </w:pPr>
      <w:r>
        <w:t>Important scope note</w:t>
      </w:r>
    </w:p>
    <w:p>
      <w:r>
        <w:rPr>
          <w:b w:val="0"/>
        </w:rPr>
        <w:t>This brief evaluates the marketing page and requested UX presentation. It does not independently verify whether provider dashboards, enquiry routing, payments or verification services are functional in the authenticated application. If any previewed feature is not live, mark it “Coming soon” or use an approved illustrative preview; do not imply functionality that does not exist.</w:t>
      </w:r>
    </w:p>
    <w:p>
      <w:pPr>
        <w:pStyle w:val="Heading1"/>
      </w:pPr>
      <w:r>
        <w:t>Source and comparison basis</w:t>
      </w:r>
    </w:p>
    <w:p>
      <w:r>
        <w:rPr>
          <w:b w:val="0"/>
        </w:rPr>
        <w:t>Current page inspected: https://asancha.vercel.app/solutions/service-providers (8 October 2026). Compared with the earlier Asancha Service Provider Journey UX &amp; Content Improvement Brief. The accessible page includes the six-step journey, textual service category list, qualification/document review, property-linked enquiries, service workflows, protected information and payment-aware actions.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