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Redesign &amp; Migration – Developer Brief</w:t>
      </w:r>
    </w:p>
    <w:p>
      <w:pPr>
        <w:pStyle w:val="Subtitle"/>
      </w:pPr>
      <w:r>
        <w:t>Build instructions, priorities and acceptance criteria for the five existing Asancha services.</w:t>
      </w:r>
    </w:p>
    <w:p>
      <w:r>
        <w:rPr>
          <w:color w:val="006FA8"/>
        </w:rPr>
        <w:t>ASANCHA  |  Developer handover  |  October 2026</w:t>
      </w:r>
    </w:p>
    <w:p>
      <w:pPr>
        <w:pStyle w:val="Heading1"/>
      </w:pPr>
      <w:r>
        <w:t>1. Delivery objective</w:t>
      </w:r>
    </w:p>
    <w:p>
      <w:r>
        <w:t>Migrate all five current service pages from asancha.co.uk into the new Asancha website, applying the approved visual design and clearer customer journeys. This is a controlled redesign of page experience, not a rebuild of the business services.</w:t>
      </w:r>
    </w:p>
    <w:p>
      <w:pPr>
        <w:pStyle w:val="Heading1"/>
      </w:pPr>
      <w:r>
        <w:t>2. P0 – Required for launch</w:t>
      </w:r>
    </w:p>
    <w:p>
      <w:pPr>
        <w:pStyle w:val="ListBullet"/>
      </w:pPr>
      <w:r>
        <w:t>Inventory current service URLs, page copy, images, SEO metadata, forms, links and downloads before migration.</w:t>
      </w:r>
    </w:p>
    <w:p>
      <w:pPr>
        <w:pStyle w:val="ListBullet"/>
      </w:pPr>
      <w:r>
        <w:t>Create a Services navigation dropdown on desktop and an accessible expandable Services group on mobile.</w:t>
      </w:r>
    </w:p>
    <w:p>
      <w:pPr>
        <w:pStyle w:val="ListBullet"/>
      </w:pPr>
      <w:r>
        <w:t>Publish five distinct service landing pages with correct titles and working navigation.</w:t>
      </w:r>
    </w:p>
    <w:p>
      <w:pPr>
        <w:pStyle w:val="ListBullet"/>
      </w:pPr>
      <w:r>
        <w:t>Use the new site’s design system: typography, spacing, buttons, imagery treatment, responsive layout.</w:t>
      </w:r>
    </w:p>
    <w:p>
      <w:pPr>
        <w:pStyle w:val="ListBullet"/>
      </w:pPr>
      <w:r>
        <w:t>Redesign Property Sourcing as the flagship service and connect its CTAs to actual supported platform journeys.</w:t>
      </w:r>
    </w:p>
    <w:p>
      <w:pPr>
        <w:pStyle w:val="ListBullet"/>
      </w:pPr>
      <w:r>
        <w:t>Retain or replace every existing working enquiry action with a tested equivalent; no dead buttons or placeholder forms.</w:t>
      </w:r>
    </w:p>
    <w:p>
      <w:pPr>
        <w:pStyle w:val="ListBullet"/>
      </w:pPr>
      <w:r>
        <w:t>Map old URLs to new URLs; preserve existing paths where possible, otherwise configure permanent 301 redirects.</w:t>
      </w:r>
    </w:p>
    <w:p>
      <w:pPr>
        <w:pStyle w:val="ListBullet"/>
      </w:pPr>
      <w:r>
        <w:t>Clearly disclose direct provision versus referral/coordination where relevant; do not publish unsupported claims.</w:t>
      </w:r>
    </w:p>
    <w:p>
      <w:pPr>
        <w:pStyle w:val="Heading1"/>
      </w:pPr>
      <w:r>
        <w:t>3. P1 – Improvements after core migration</w:t>
      </w:r>
    </w:p>
    <w:p>
      <w:pPr>
        <w:pStyle w:val="ListBullet"/>
      </w:pPr>
      <w:r>
        <w:t>Tailor each service page to its own audience, process, FAQs and CTA rather than cloning generic copy.</w:t>
      </w:r>
    </w:p>
    <w:p>
      <w:pPr>
        <w:pStyle w:val="ListBullet"/>
      </w:pPr>
      <w:r>
        <w:t>Use authentic project imagery and case studies only where approved and verifiable.</w:t>
      </w:r>
    </w:p>
    <w:p>
      <w:pPr>
        <w:pStyle w:val="ListBullet"/>
      </w:pPr>
      <w:r>
        <w:t>Add service-specific enquiry fields and route enquiries to the appropriate mailbox/CRM workflow if available.</w:t>
      </w:r>
    </w:p>
    <w:p>
      <w:pPr>
        <w:pStyle w:val="ListBullet"/>
      </w:pPr>
      <w:r>
        <w:t>Improve internal linking between service pages, Find Properties and relevant platform Solutions.</w:t>
      </w:r>
    </w:p>
    <w:p>
      <w:pPr>
        <w:pStyle w:val="ListBullet"/>
      </w:pPr>
      <w:r>
        <w:t>Add analytics events for service-page views, CTA clicks, form starts and successful submissions.</w:t>
      </w:r>
    </w:p>
    <w:p>
      <w:pPr>
        <w:pStyle w:val="Heading1"/>
      </w:pPr>
      <w:r>
        <w:t>4. Page-level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Required elements</w:t>
            </w:r>
          </w:p>
        </w:tc>
      </w:tr>
      <w:tr>
        <w:tc>
          <w:tcPr>
            <w:tcW w:type="dxa" w:w="4320"/>
          </w:tcPr>
          <w:p>
            <w:r>
              <w:t>Property Sourcing</w:t>
            </w:r>
          </w:p>
        </w:tc>
        <w:tc>
          <w:tcPr>
            <w:tcW w:type="dxa" w:w="4320"/>
          </w:tcPr>
          <w:p>
            <w:r>
              <w:t>Opportunity discovery link; investor requirements; simple sourcing process; scope and fee clarity where applicable.</w:t>
            </w:r>
          </w:p>
        </w:tc>
      </w:tr>
      <w:tr>
        <w:tc>
          <w:tcPr>
            <w:tcW w:type="dxa" w:w="4320"/>
          </w:tcPr>
          <w:p>
            <w:r>
              <w:t>Investment &amp; Joint Ventures</w:t>
            </w:r>
          </w:p>
        </w:tc>
        <w:tc>
          <w:tcPr>
            <w:tcW w:type="dxa" w:w="4320"/>
          </w:tcPr>
          <w:p>
            <w:r>
              <w:t>Nature of offering; who can enquire; due diligence and risk caveats; no return promises.</w:t>
            </w:r>
          </w:p>
        </w:tc>
      </w:tr>
      <w:tr>
        <w:tc>
          <w:tcPr>
            <w:tcW w:type="dxa" w:w="4320"/>
          </w:tcPr>
          <w:p>
            <w:r>
              <w:t>Property Management</w:t>
            </w:r>
          </w:p>
        </w:tc>
        <w:tc>
          <w:tcPr>
            <w:tcW w:type="dxa" w:w="4320"/>
          </w:tcPr>
          <w:p>
            <w:r>
              <w:t>Service scope; geographic coverage if confirmed; who performs the work; consultation CTA.</w:t>
            </w:r>
          </w:p>
        </w:tc>
      </w:tr>
      <w:tr>
        <w:tc>
          <w:tcPr>
            <w:tcW w:type="dxa" w:w="4320"/>
          </w:tcPr>
          <w:p>
            <w:r>
              <w:t>Property Refurbishment</w:t>
            </w:r>
          </w:p>
        </w:tc>
        <w:tc>
          <w:tcPr>
            <w:tcW w:type="dxa" w:w="4320"/>
          </w:tcPr>
          <w:p>
            <w:r>
              <w:t>Project types; staged process; real examples only; project enquiry CTA.</w:t>
            </w:r>
          </w:p>
        </w:tc>
      </w:tr>
      <w:tr>
        <w:tc>
          <w:tcPr>
            <w:tcW w:type="dxa" w:w="4320"/>
          </w:tcPr>
          <w:p>
            <w:r>
              <w:t>Interior Design</w:t>
            </w:r>
          </w:p>
        </w:tc>
        <w:tc>
          <w:tcPr>
            <w:tcW w:type="dxa" w:w="4320"/>
          </w:tcPr>
          <w:p>
            <w:r>
              <w:t>Service categories; approved imagery; consultation CTA; service availability clarity.</w:t>
            </w:r>
          </w:p>
        </w:tc>
      </w:tr>
    </w:tbl>
    <w:p>
      <w:pPr>
        <w:pStyle w:val="Heading1"/>
      </w:pPr>
      <w:r>
        <w:t>5. Navigation and user journeys</w:t>
      </w:r>
    </w:p>
    <w:p>
      <w:pPr>
        <w:pStyle w:val="ListBullet"/>
      </w:pPr>
      <w:r>
        <w:t>Desktop: Services appears as a top-level dropdown; all five pages reachable in one interaction.</w:t>
      </w:r>
    </w:p>
    <w:p>
      <w:pPr>
        <w:pStyle w:val="ListBullet"/>
      </w:pPr>
      <w:r>
        <w:t>Mobile: Services expands/collapses, links are comfortably tappable, and overlay does not obscure actions.</w:t>
      </w:r>
    </w:p>
    <w:p>
      <w:pPr>
        <w:pStyle w:val="ListBullet"/>
      </w:pPr>
      <w:r>
        <w:t>Service pages have a visible route back to Services and clear cross-links where relevant.</w:t>
      </w:r>
    </w:p>
    <w:p>
      <w:pPr>
        <w:pStyle w:val="ListBullet"/>
      </w:pPr>
      <w:r>
        <w:t>Keep Solutions/Professionals navigation separate; do not duplicate investor/sourcer role pages as services.</w:t>
      </w:r>
    </w:p>
    <w:p>
      <w:pPr>
        <w:pStyle w:val="Heading1"/>
      </w:pPr>
      <w:r>
        <w:t>6. SEO and technical migration checklist</w:t>
      </w:r>
    </w:p>
    <w:p>
      <w:pPr>
        <w:pStyle w:val="ListBullet"/>
      </w:pPr>
      <w:r>
        <w:t>Capture old-to-new URL mapping; confirm 301 redirects for changed URLs.</w:t>
      </w:r>
    </w:p>
    <w:p>
      <w:pPr>
        <w:pStyle w:val="ListBullet"/>
      </w:pPr>
      <w:r>
        <w:t>Preserve or intentionally update page titles, meta descriptions, headings, canonical URLs and image alt text.</w:t>
      </w:r>
    </w:p>
    <w:p>
      <w:pPr>
        <w:pStyle w:val="ListBullet"/>
      </w:pPr>
      <w:r>
        <w:t>Update sitemap, internal links, navigation and footer references.</w:t>
      </w:r>
    </w:p>
    <w:p>
      <w:pPr>
        <w:pStyle w:val="ListBullet"/>
      </w:pPr>
      <w:r>
        <w:t>Verify form submissions, email delivery, spam protection and confirmation messages.</w:t>
      </w:r>
    </w:p>
    <w:p>
      <w:pPr>
        <w:pStyle w:val="ListBullet"/>
      </w:pPr>
      <w:r>
        <w:t>Test page speed, accessibility, keyboard navigation, responsive breakpoints and broken links.</w:t>
      </w:r>
    </w:p>
    <w:p>
      <w:pPr>
        <w:pStyle w:val="Heading1"/>
      </w:pPr>
      <w:r>
        <w:t>7. Acceptance criteria / sign-off</w:t>
      </w:r>
    </w:p>
    <w:p>
      <w:pPr>
        <w:pStyle w:val="ListBullet"/>
      </w:pPr>
      <w:r>
        <w:t>Five service pages live and accessible from both desktop and mobile menus.</w:t>
      </w:r>
    </w:p>
    <w:p>
      <w:pPr>
        <w:pStyle w:val="ListBullet"/>
      </w:pPr>
      <w:r>
        <w:t>Every page includes a unique hero, relevant service explanation, how-it-works section and functional CTA.</w:t>
      </w:r>
    </w:p>
    <w:p>
      <w:pPr>
        <w:pStyle w:val="ListBullet"/>
      </w:pPr>
      <w:r>
        <w:t>No inaccurate claims, unapproved imagery, broken links or non-functional forms.</w:t>
      </w:r>
    </w:p>
    <w:p>
      <w:pPr>
        <w:pStyle w:val="ListBullet"/>
      </w:pPr>
      <w:r>
        <w:t>Old URLs continue to reach appropriate new pages (or remain unchanged).</w:t>
      </w:r>
    </w:p>
    <w:p>
      <w:pPr>
        <w:pStyle w:val="ListBullet"/>
      </w:pPr>
      <w:r>
        <w:t>Developer provides desktop and mobile screenshots of all five pages plus a tested URL and enquiry-form checklist.</w:t>
      </w:r>
    </w:p>
    <w:p>
      <w:pPr>
        <w:pStyle w:val="ListBullet"/>
      </w:pPr>
      <w:r>
        <w:t>Business owner reviews content, service scope and positioning before publication.</w:t>
      </w:r>
    </w:p>
    <w:p>
      <w:pPr>
        <w:pStyle w:val="Heading1"/>
      </w:pPr>
      <w:r>
        <w:t>8. Handover request</w:t>
      </w:r>
    </w:p>
    <w:p>
      <w:r>
        <w:t>Provide a URL map, change log, screenshots, form test evidence and a short list of any unresolved content or business decisions. Do not assume a service is directly delivered by Asancha without confirmation.</w:t>
      </w:r>
    </w:p>
    <w:sectPr w:rsidR="00FC693F" w:rsidRPr="0006063C" w:rsidSect="00034616">
      <w:footerReference w:type="default" r:id="rId9"/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Asancha • Internal developer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A3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2A3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2A3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