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Page Redesign Strategy</w:t>
      </w:r>
    </w:p>
    <w:p>
      <w:pPr>
        <w:pStyle w:val="Subtitle"/>
      </w:pPr>
      <w:r>
        <w:t>Preserve the five services; modernise their presentation within the new Asancha website.</w:t>
      </w:r>
    </w:p>
    <w:p>
      <w:r>
        <w:rPr>
          <w:color w:val="006FA8"/>
        </w:rPr>
        <w:t>ASANCHA  |  Developer handover  |  October 2026</w:t>
      </w:r>
    </w:p>
    <w:p>
      <w:pPr>
        <w:pStyle w:val="Heading1"/>
      </w:pPr>
      <w:r>
        <w:t>1. Decision and scope</w:t>
      </w:r>
    </w:p>
    <w:p>
      <w:r>
        <w:t>Proceed with a light-to-moderate redesign during migration. Do not change the underlying service offering, invent capabilities or replace the property sourcing platform with a general property-services brand.</w:t>
      </w:r>
    </w:p>
    <w:p>
      <w:pPr>
        <w:pStyle w:val="Heading1"/>
      </w:pPr>
      <w:r>
        <w:t>2. Existing services and page treatment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Recommended treatment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Property Sourcing</w:t>
            </w:r>
          </w:p>
        </w:tc>
        <w:tc>
          <w:tcPr>
            <w:tcW w:type="dxa" w:w="2880"/>
          </w:tcPr>
          <w:p>
            <w:r>
              <w:t>Flagship service: connect to property discovery, sourcing requirements, investor and sourcer journeys.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Property Investment &amp; Joint Ventures</w:t>
            </w:r>
          </w:p>
        </w:tc>
        <w:tc>
          <w:tcPr>
            <w:tcW w:type="dxa" w:w="2880"/>
          </w:tcPr>
          <w:p>
            <w:r>
              <w:t>Clarify arrangements, who can enquire, indicative process and appropriate risk wording.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Property Management</w:t>
            </w:r>
          </w:p>
        </w:tc>
        <w:tc>
          <w:tcPr>
            <w:tcW w:type="dxa" w:w="2880"/>
          </w:tcPr>
          <w:p>
            <w:r>
              <w:t>Explain scope, service area, who delivers it and how enquiries are handled.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Property Refurbishment</w:t>
            </w:r>
          </w:p>
        </w:tc>
        <w:tc>
          <w:tcPr>
            <w:tcW w:type="dxa" w:w="2880"/>
          </w:tcPr>
          <w:p>
            <w:r>
              <w:t>Present project types, consultation-to-delivery process and authentic work examples only.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Interior Design</w:t>
            </w:r>
          </w:p>
        </w:tc>
        <w:tc>
          <w:tcPr>
            <w:tcW w:type="dxa" w:w="2880"/>
          </w:tcPr>
          <w:p>
            <w:r>
              <w:t>Use visual service categories and a clear design consultation enquiry.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3. Positioning and information architecture</w:t>
      </w:r>
    </w:p>
    <w:p>
      <w:pPr>
        <w:pStyle w:val="ListBullet"/>
      </w:pPr>
      <w:r>
        <w:t>Main navigation: Find Properties | Services | Solutions (or Professionals) | About Us | Contact. Final label should match the approved new-site IA.</w:t>
      </w:r>
    </w:p>
    <w:p>
      <w:pPr>
        <w:pStyle w:val="ListBullet"/>
      </w:pPr>
      <w:r>
        <w:t>Services dropdown: Property Sourcing; Property Investment &amp; Joint Ventures; Property Management; Property Refurbishment; Interior Design.</w:t>
      </w:r>
    </w:p>
    <w:p>
      <w:pPr>
        <w:pStyle w:val="ListBullet"/>
      </w:pPr>
      <w:r>
        <w:t>Keep Off-Market Properties within Find Properties or its relevant property discovery route, not duplicated as a service.</w:t>
      </w:r>
    </w:p>
    <w:p>
      <w:pPr>
        <w:pStyle w:val="ListBullet"/>
      </w:pPr>
      <w:r>
        <w:t>Services = what Asancha offers or coordinates. Solutions = platform journeys for investors, owners, agents, sourcers, service providers and API partners.</w:t>
      </w:r>
    </w:p>
    <w:p>
      <w:pPr>
        <w:pStyle w:val="Heading1"/>
      </w:pPr>
      <w:r>
        <w:t>4. Reusable service-page template</w:t>
      </w:r>
    </w:p>
    <w:p>
      <w:pPr>
        <w:pStyle w:val="ListBullet"/>
      </w:pPr>
      <w:r>
        <w:t>Hero: service-specific promise, concise explanation, relevant CTA.</w:t>
      </w:r>
    </w:p>
    <w:p>
      <w:pPr>
        <w:pStyle w:val="ListBullet"/>
      </w:pPr>
      <w:r>
        <w:t>Who it is for and what is included (with direct delivery vs third-party coordination made explicit).</w:t>
      </w:r>
    </w:p>
    <w:p>
      <w:pPr>
        <w:pStyle w:val="ListBullet"/>
      </w:pPr>
      <w:r>
        <w:t>How it works: three or four understandable steps.</w:t>
      </w:r>
    </w:p>
    <w:p>
      <w:pPr>
        <w:pStyle w:val="ListBullet"/>
      </w:pPr>
      <w:r>
        <w:t>Benefits and service-specific information; genuine imagery or project examples where available.</w:t>
      </w:r>
    </w:p>
    <w:p>
      <w:pPr>
        <w:pStyle w:val="ListBullet"/>
      </w:pPr>
      <w:r>
        <w:t>FAQs, eligibility/coverage and relevant caveats.</w:t>
      </w:r>
    </w:p>
    <w:p>
      <w:pPr>
        <w:pStyle w:val="ListBullet"/>
      </w:pPr>
      <w:r>
        <w:t>Clear enquiry form or booking action; mobile-friendly sticky or repeated CTA where appropriate.</w:t>
      </w:r>
    </w:p>
    <w:p>
      <w:pPr>
        <w:pStyle w:val="Heading1"/>
      </w:pPr>
      <w:r>
        <w:t>5. Service-specific CTA examples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Primary CTA</w:t>
            </w:r>
          </w:p>
        </w:tc>
        <w:tc>
          <w:tcPr>
            <w:tcW w:type="dxa" w:w="2880"/>
          </w:tcPr>
          <w:p>
            <w:r>
              <w:t>Secondary CTA</w:t>
            </w:r>
          </w:p>
        </w:tc>
      </w:tr>
      <w:tr>
        <w:tc>
          <w:tcPr>
            <w:tcW w:type="dxa" w:w="2880"/>
          </w:tcPr>
          <w:p>
            <w:r>
              <w:t>Property Sourcing</w:t>
            </w:r>
          </w:p>
        </w:tc>
        <w:tc>
          <w:tcPr>
            <w:tcW w:type="dxa" w:w="2880"/>
          </w:tcPr>
          <w:p>
            <w:r>
              <w:t>Explore Properties</w:t>
            </w:r>
          </w:p>
        </w:tc>
        <w:tc>
          <w:tcPr>
            <w:tcW w:type="dxa" w:w="2880"/>
          </w:tcPr>
          <w:p>
            <w:r>
              <w:t>Submit Sourcing Requirements</w:t>
            </w:r>
          </w:p>
        </w:tc>
      </w:tr>
      <w:tr>
        <w:tc>
          <w:tcPr>
            <w:tcW w:type="dxa" w:w="2880"/>
          </w:tcPr>
          <w:p>
            <w:r>
              <w:t>Investment &amp; Joint Ventures</w:t>
            </w:r>
          </w:p>
        </w:tc>
        <w:tc>
          <w:tcPr>
            <w:tcW w:type="dxa" w:w="2880"/>
          </w:tcPr>
          <w:p>
            <w:r>
              <w:t>Enquire About Opportunities</w:t>
            </w:r>
          </w:p>
        </w:tc>
        <w:tc>
          <w:tcPr>
            <w:tcW w:type="dxa" w:w="2880"/>
          </w:tcPr>
          <w:p>
            <w:r>
              <w:t>How It Works</w:t>
            </w:r>
          </w:p>
        </w:tc>
      </w:tr>
      <w:tr>
        <w:tc>
          <w:tcPr>
            <w:tcW w:type="dxa" w:w="2880"/>
          </w:tcPr>
          <w:p>
            <w:r>
              <w:t>Property Management</w:t>
            </w:r>
          </w:p>
        </w:tc>
        <w:tc>
          <w:tcPr>
            <w:tcW w:type="dxa" w:w="2880"/>
          </w:tcPr>
          <w:p>
            <w:r>
              <w:t>Request a Consultation</w:t>
            </w:r>
          </w:p>
        </w:tc>
        <w:tc>
          <w:tcPr>
            <w:tcW w:type="dxa" w:w="2880"/>
          </w:tcPr>
          <w:p>
            <w:r>
              <w:t>Explore Services</w:t>
            </w:r>
          </w:p>
        </w:tc>
      </w:tr>
      <w:tr>
        <w:tc>
          <w:tcPr>
            <w:tcW w:type="dxa" w:w="2880"/>
          </w:tcPr>
          <w:p>
            <w:r>
              <w:t>Property Refurbishment</w:t>
            </w:r>
          </w:p>
        </w:tc>
        <w:tc>
          <w:tcPr>
            <w:tcW w:type="dxa" w:w="2880"/>
          </w:tcPr>
          <w:p>
            <w:r>
              <w:t>Discuss Your Project</w:t>
            </w:r>
          </w:p>
        </w:tc>
        <w:tc>
          <w:tcPr>
            <w:tcW w:type="dxa" w:w="2880"/>
          </w:tcPr>
          <w:p>
            <w:r>
              <w:t>View Project Types</w:t>
            </w:r>
          </w:p>
        </w:tc>
      </w:tr>
      <w:tr>
        <w:tc>
          <w:tcPr>
            <w:tcW w:type="dxa" w:w="2880"/>
          </w:tcPr>
          <w:p>
            <w:r>
              <w:t>Interior Design</w:t>
            </w:r>
          </w:p>
        </w:tc>
        <w:tc>
          <w:tcPr>
            <w:tcW w:type="dxa" w:w="2880"/>
          </w:tcPr>
          <w:p>
            <w:r>
              <w:t>Book a Design Consultation</w:t>
            </w:r>
          </w:p>
        </w:tc>
        <w:tc>
          <w:tcPr>
            <w:tcW w:type="dxa" w:w="2880"/>
          </w:tcPr>
          <w:p>
            <w:r>
              <w:t>Explore Design Services</w:t>
            </w:r>
          </w:p>
        </w:tc>
      </w:tr>
    </w:tbl>
    <w:p>
      <w:pPr>
        <w:pStyle w:val="Heading1"/>
      </w:pPr>
      <w:r>
        <w:t>6. Content and trust rules</w:t>
      </w:r>
    </w:p>
    <w:p>
      <w:pPr>
        <w:pStyle w:val="ListBullet"/>
      </w:pPr>
      <w:r>
        <w:t>Migrate existing factual service content, then edit for clarity; preserve business meaning.</w:t>
      </w:r>
    </w:p>
    <w:p>
      <w:pPr>
        <w:pStyle w:val="ListBullet"/>
      </w:pPr>
      <w:r>
        <w:t>Do not imply completed projects, verified providers, returns, financing, joint ventures or service coverage without evidence.</w:t>
      </w:r>
    </w:p>
    <w:p>
      <w:pPr>
        <w:pStyle w:val="ListBullet"/>
      </w:pPr>
      <w:r>
        <w:t>For property investment, distinguish opportunities and exploratory discussions from offers; avoid guaranteed outcomes.</w:t>
      </w:r>
    </w:p>
    <w:p>
      <w:pPr>
        <w:pStyle w:val="ListBullet"/>
      </w:pPr>
      <w:r>
        <w:t>For any partner-delivered service, explain Asancha’s role and who is responsible for delivery.</w:t>
      </w:r>
    </w:p>
    <w:p>
      <w:pPr>
        <w:pStyle w:val="ListBullet"/>
      </w:pPr>
      <w:r>
        <w:t>Property sourcing remains the primary proposition; AI, matching, verification and coordination are supporting capabilities.</w:t>
      </w:r>
    </w:p>
    <w:p>
      <w:pPr>
        <w:pStyle w:val="Heading1"/>
      </w:pPr>
      <w:r>
        <w:t>7. Success criteria</w:t>
      </w:r>
    </w:p>
    <w:p>
      <w:pPr>
        <w:pStyle w:val="ListBullet"/>
      </w:pPr>
      <w:r>
        <w:t>Visitor can identify each service and its next step within five seconds.</w:t>
      </w:r>
    </w:p>
    <w:p>
      <w:pPr>
        <w:pStyle w:val="ListBullet"/>
      </w:pPr>
      <w:r>
        <w:t>Consistent styling across all five pages without generic duplicated copy.</w:t>
      </w:r>
    </w:p>
    <w:p>
      <w:pPr>
        <w:pStyle w:val="ListBullet"/>
      </w:pPr>
      <w:r>
        <w:t>All existing working enquiry routes remain functional.</w:t>
      </w:r>
    </w:p>
    <w:p>
      <w:pPr>
        <w:pStyle w:val="ListBullet"/>
      </w:pPr>
      <w:r>
        <w:t>The property sourcing service links naturally into the new platform without confusing users.</w:t>
      </w:r>
    </w:p>
    <w:sectPr w:rsidR="00FC693F" w:rsidRPr="0006063C" w:rsidSect="00034616">
      <w:footerReference w:type="default" r:id="rId9"/>
      <w:pgSz w:w="12240" w:h="15840"/>
      <w:pgMar w:top="1080" w:right="1800" w:bottom="936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Asancha • Internal developer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A3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2A3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2A3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