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8590" w14:textId="77777777" w:rsidR="008F2825" w:rsidRDefault="008F2825" w:rsidP="00517B17">
      <w:bookmarkStart w:id="0" w:name="_Ref506808573"/>
      <w:bookmarkStart w:id="1" w:name="_Toc58851111"/>
      <w:bookmarkStart w:id="2" w:name="_Hlk72162763"/>
      <w:bookmarkStart w:id="3" w:name="_Hlk72162878"/>
    </w:p>
    <w:p w14:paraId="06D1EE36" w14:textId="77777777" w:rsidR="00742FB7" w:rsidRPr="00742FB7" w:rsidRDefault="00742FB7" w:rsidP="00517B17">
      <w:pPr>
        <w:pStyle w:val="Heading2"/>
        <w:rPr>
          <w:rFonts w:hint="eastAsia"/>
        </w:rPr>
      </w:pPr>
      <w:r w:rsidRPr="00517B17">
        <w:t>Configuration</w:t>
      </w:r>
      <w:bookmarkEnd w:id="0"/>
      <w:bookmarkEnd w:id="1"/>
    </w:p>
    <w:p w14:paraId="3EAC47B0" w14:textId="3CC9CD3D" w:rsidR="00742FB7" w:rsidRPr="00742FB7" w:rsidRDefault="00742FB7" w:rsidP="00742FB7">
      <w:r w:rsidRPr="00742FB7">
        <w:fldChar w:fldCharType="begin"/>
      </w:r>
      <w:r w:rsidRPr="00742FB7">
        <w:instrText xml:space="preserve"> REF Model_name \h </w:instrText>
      </w:r>
      <w:r w:rsidRPr="00742FB7">
        <w:fldChar w:fldCharType="separate"/>
      </w:r>
      <w:r w:rsidRPr="00742FB7">
        <w:t>XXX</w:t>
      </w:r>
      <w:r w:rsidRPr="00742FB7">
        <w:fldChar w:fldCharType="end"/>
      </w:r>
      <w:r w:rsidRPr="00742FB7">
        <w:t xml:space="preserve"> is installed as an App and requires muitoolbox and dstoolbox to be installed. The download for each of these includes the code, documentation and example files. The files required are: </w:t>
      </w:r>
    </w:p>
    <w:p w14:paraId="7246FC02" w14:textId="77777777" w:rsidR="00742FB7" w:rsidRPr="00742FB7" w:rsidRDefault="00742FB7" w:rsidP="00742FB7">
      <w:r w:rsidRPr="00742FB7">
        <w:t xml:space="preserve">dstoolbox: </w:t>
      </w:r>
      <w:r w:rsidRPr="00725C2D">
        <w:rPr>
          <w:color w:val="2A659C" w:themeColor="accent6"/>
        </w:rPr>
        <w:t>dstoolbox.mltbx</w:t>
      </w:r>
    </w:p>
    <w:p w14:paraId="283EC719" w14:textId="77777777" w:rsidR="00742FB7" w:rsidRPr="00725C2D" w:rsidRDefault="00742FB7" w:rsidP="00742FB7">
      <w:pPr>
        <w:rPr>
          <w:color w:val="2A659C" w:themeColor="accent6"/>
        </w:rPr>
      </w:pPr>
      <w:r w:rsidRPr="00742FB7">
        <w:t xml:space="preserve">muitoolbox: </w:t>
      </w:r>
      <w:r w:rsidRPr="00725C2D">
        <w:rPr>
          <w:color w:val="2A659C" w:themeColor="accent6"/>
        </w:rPr>
        <w:t>muitoolbox.mltbx</w:t>
      </w:r>
    </w:p>
    <w:p w14:paraId="0B68D2FE" w14:textId="77777777" w:rsidR="00742FB7" w:rsidRPr="00725C2D" w:rsidRDefault="00742FB7" w:rsidP="00742FB7">
      <w:pPr>
        <w:rPr>
          <w:color w:val="2A659C" w:themeColor="accent6"/>
        </w:rPr>
      </w:pPr>
      <w:r w:rsidRPr="00742FB7">
        <w:t xml:space="preserve">The App file: </w:t>
      </w:r>
      <w:r w:rsidRPr="00725C2D">
        <w:rPr>
          <w:color w:val="2A659C" w:themeColor="accent6"/>
        </w:rPr>
        <w:fldChar w:fldCharType="begin"/>
      </w:r>
      <w:r w:rsidRPr="00725C2D">
        <w:rPr>
          <w:color w:val="2A659C" w:themeColor="accent6"/>
        </w:rPr>
        <w:instrText xml:space="preserve"> REF Model_name \h </w:instrText>
      </w:r>
      <w:r w:rsidRPr="00725C2D">
        <w:rPr>
          <w:color w:val="2A659C" w:themeColor="accent6"/>
        </w:rPr>
      </w:r>
      <w:r w:rsidRPr="00725C2D">
        <w:rPr>
          <w:color w:val="2A659C" w:themeColor="accent6"/>
        </w:rPr>
        <w:fldChar w:fldCharType="separate"/>
      </w:r>
      <w:r w:rsidRPr="00725C2D">
        <w:rPr>
          <w:color w:val="2A659C" w:themeColor="accent6"/>
        </w:rPr>
        <w:t>XXX</w:t>
      </w:r>
      <w:r w:rsidRPr="00725C2D">
        <w:rPr>
          <w:color w:val="2A659C" w:themeColor="accent6"/>
        </w:rPr>
        <w:fldChar w:fldCharType="end"/>
      </w:r>
      <w:r w:rsidRPr="00725C2D">
        <w:rPr>
          <w:color w:val="2A659C" w:themeColor="accent6"/>
        </w:rPr>
        <w:t>.mlappinstall</w:t>
      </w:r>
    </w:p>
    <w:p w14:paraId="4F7303A2" w14:textId="77777777" w:rsidR="00742FB7" w:rsidRPr="00742FB7" w:rsidRDefault="00742FB7" w:rsidP="00517B17">
      <w:pPr>
        <w:pStyle w:val="Heading3"/>
        <w:rPr>
          <w:rFonts w:hint="eastAsia"/>
        </w:rPr>
      </w:pPr>
      <w:r w:rsidRPr="00742FB7">
        <w:t>Installing the toolboxes</w:t>
      </w:r>
    </w:p>
    <w:p w14:paraId="0A5F41E2" w14:textId="77777777" w:rsidR="00742FB7" w:rsidRPr="00742FB7" w:rsidRDefault="00742FB7" w:rsidP="00742FB7">
      <w:r w:rsidRPr="00742FB7">
        <w:t xml:space="preserve">The two toolboxes can be installed using the </w:t>
      </w:r>
      <w:r w:rsidRPr="00742FB7">
        <w:rPr>
          <w:i/>
          <w:iCs/>
        </w:rPr>
        <w:t>Add-Ons&gt;Manage Add-Ons</w:t>
      </w:r>
      <w:r w:rsidRPr="00742FB7">
        <w:t xml:space="preserve"> option on the Home tab of Matlab</w:t>
      </w:r>
      <w:r w:rsidRPr="00742FB7">
        <w:rPr>
          <w:vertAlign w:val="superscript"/>
        </w:rPr>
        <w:t>TM</w:t>
      </w:r>
      <w:r w:rsidRPr="00742FB7">
        <w:t xml:space="preserve">. </w:t>
      </w:r>
      <w:bookmarkStart w:id="4" w:name="_Hlk71991866"/>
      <w:r w:rsidRPr="00742FB7">
        <w:t xml:space="preserve">Alternatively, right-click the mouse on the ‘mltbx’ files and select install. </w:t>
      </w:r>
      <w:bookmarkEnd w:id="4"/>
      <w:r w:rsidRPr="00742FB7">
        <w:t xml:space="preserve">All the folder paths are initialised upon installation and the location of the code is also handled by Matlab™. The location of the code can be accessed using the options in the </w:t>
      </w:r>
      <w:r w:rsidRPr="00742FB7">
        <w:rPr>
          <w:i/>
          <w:iCs/>
        </w:rPr>
        <w:t xml:space="preserve">Manage Add-Ons </w:t>
      </w:r>
      <w:r w:rsidRPr="00742FB7">
        <w:t>UI.</w:t>
      </w:r>
    </w:p>
    <w:p w14:paraId="036F4163" w14:textId="77777777" w:rsidR="00742FB7" w:rsidRPr="00742FB7" w:rsidRDefault="00742FB7" w:rsidP="00B90A1F">
      <w:pPr>
        <w:pStyle w:val="Heading3"/>
        <w:rPr>
          <w:rFonts w:hint="eastAsia"/>
        </w:rPr>
      </w:pPr>
      <w:r w:rsidRPr="00742FB7">
        <w:t>I</w:t>
      </w:r>
      <w:r w:rsidRPr="00742FB7">
        <w:rPr>
          <w:rFonts w:hint="eastAsia"/>
        </w:rPr>
        <w:t>n</w:t>
      </w:r>
      <w:r w:rsidRPr="00742FB7">
        <w:t>stalling the App</w:t>
      </w:r>
    </w:p>
    <w:p w14:paraId="5E2C34FA" w14:textId="77777777" w:rsidR="00742FB7" w:rsidRPr="00742FB7" w:rsidRDefault="00742FB7" w:rsidP="00742FB7">
      <w:r w:rsidRPr="00742FB7">
        <w:t>The App is installed using the Install Apps button on the APPS tab in Matlab™. Alternatively, right-click the mouse on the ‘mlappinstall’ file and select install. Again all the folder paths are initialised upon installation and the location of the code is handled by Matlab™.</w:t>
      </w:r>
    </w:p>
    <w:p w14:paraId="60F935A2" w14:textId="0089AFD7" w:rsidR="00742FB7" w:rsidRPr="00742FB7" w:rsidRDefault="00742FB7" w:rsidP="00742FB7">
      <w:r w:rsidRPr="00742FB7">
        <w:t xml:space="preserve">Once installed, the </w:t>
      </w:r>
      <w:r w:rsidR="00691B2B">
        <w:t>App</w:t>
      </w:r>
      <w:r w:rsidRPr="00742FB7">
        <w:t xml:space="preserve"> can be run from the </w:t>
      </w:r>
      <w:r w:rsidR="00DE7FB5">
        <w:t xml:space="preserve">APPS </w:t>
      </w:r>
      <w:r w:rsidR="0059527B">
        <w:t>t</w:t>
      </w:r>
      <w:r w:rsidR="0059527B" w:rsidRPr="0059527B">
        <w:t>ab. This sets the App environment paths after which the App can be run from the Command Window using:</w:t>
      </w:r>
    </w:p>
    <w:p w14:paraId="538B6762" w14:textId="778BCCB1" w:rsidR="00742FB7" w:rsidRDefault="00742FB7" w:rsidP="00742FB7">
      <w:r w:rsidRPr="00742FB7">
        <w:t xml:space="preserve">&gt;&gt; </w:t>
      </w:r>
      <w:r w:rsidRPr="00742FB7">
        <w:fldChar w:fldCharType="begin"/>
      </w:r>
      <w:r w:rsidRPr="00742FB7">
        <w:instrText xml:space="preserve"> REF Model_name \h </w:instrText>
      </w:r>
      <w:r w:rsidRPr="00742FB7">
        <w:fldChar w:fldCharType="separate"/>
      </w:r>
      <w:r w:rsidRPr="00742FB7">
        <w:t>XXX</w:t>
      </w:r>
      <w:r w:rsidRPr="00742FB7">
        <w:fldChar w:fldCharType="end"/>
      </w:r>
      <w:r w:rsidRPr="00742FB7">
        <w:t>;</w:t>
      </w:r>
    </w:p>
    <w:p w14:paraId="49388F8C" w14:textId="730391B5" w:rsidR="0059527B" w:rsidRPr="00742FB7" w:rsidRDefault="0059527B" w:rsidP="00742FB7">
      <w:r w:rsidRPr="0059527B">
        <w:t>The App environment paths can be saved using the Set Path option on the Matlab™ Home tab.</w:t>
      </w:r>
    </w:p>
    <w:p w14:paraId="260A0B25" w14:textId="5603F605" w:rsidR="00742FB7" w:rsidRDefault="00742FB7" w:rsidP="00742FB7">
      <w:r w:rsidRPr="00742FB7">
        <w:t xml:space="preserve">Documentation can be viewed from </w:t>
      </w:r>
      <w:r w:rsidR="00DE7FB5">
        <w:t xml:space="preserve">the App Help menu, or </w:t>
      </w:r>
      <w:r w:rsidRPr="00742FB7">
        <w:t>the Supplementa</w:t>
      </w:r>
      <w:r w:rsidR="00DE7FB5">
        <w:t>l</w:t>
      </w:r>
      <w:r w:rsidRPr="00742FB7">
        <w:t xml:space="preserve"> Software in the Matlab™ documentation. The location of the code can be accessed by hovering over the App icon and then finding the link in the pop</w:t>
      </w:r>
      <w:bookmarkEnd w:id="2"/>
      <w:r w:rsidRPr="00742FB7">
        <w:t>-up window.</w:t>
      </w:r>
    </w:p>
    <w:bookmarkEnd w:id="3"/>
    <w:p w14:paraId="51D673B8" w14:textId="77777777" w:rsidR="00F069E3" w:rsidRPr="00787C64" w:rsidRDefault="00F069E3" w:rsidP="00787C64"/>
    <w:sectPr w:rsidR="00F069E3" w:rsidRPr="00787C64" w:rsidSect="00917F6D">
      <w:headerReference w:type="default" r:id="rId8"/>
      <w:footerReference w:type="default" r:id="rId9"/>
      <w:pgSz w:w="11906" w:h="16838"/>
      <w:pgMar w:top="1701" w:right="1418" w:bottom="1134" w:left="1418" w:header="709" w:footer="397" w:gutter="0"/>
      <w:pgBorders w:offsetFrom="page">
        <w:top w:val="single" w:sz="4" w:space="24" w:color="E4E3E0" w:themeColor="background1" w:themeTint="66"/>
        <w:left w:val="single" w:sz="4" w:space="24" w:color="E4E3E0" w:themeColor="background1" w:themeTint="66"/>
        <w:bottom w:val="single" w:sz="4" w:space="24" w:color="E4E3E0" w:themeColor="background1" w:themeTint="66"/>
        <w:right w:val="single" w:sz="4" w:space="24" w:color="E4E3E0" w:themeColor="background1" w:themeTint="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0B4C1" w14:textId="77777777" w:rsidR="005E3666" w:rsidRDefault="005E3666" w:rsidP="00C16A73">
      <w:r>
        <w:separator/>
      </w:r>
    </w:p>
  </w:endnote>
  <w:endnote w:type="continuationSeparator" w:id="0">
    <w:p w14:paraId="483FFBAC" w14:textId="77777777" w:rsidR="005E3666" w:rsidRDefault="005E3666" w:rsidP="00C1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questrial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7007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544A66" w14:textId="77777777" w:rsidR="00C16A73" w:rsidRDefault="00C16A73" w:rsidP="006A43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F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8B724BC" w14:textId="77777777" w:rsidR="00C16A73" w:rsidRDefault="00C16A73" w:rsidP="00C16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F3ECA" w14:textId="77777777" w:rsidR="005E3666" w:rsidRDefault="005E3666" w:rsidP="00C16A73">
      <w:r>
        <w:separator/>
      </w:r>
    </w:p>
  </w:footnote>
  <w:footnote w:type="continuationSeparator" w:id="0">
    <w:p w14:paraId="20F2A781" w14:textId="77777777" w:rsidR="005E3666" w:rsidRDefault="005E3666" w:rsidP="00C16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55BFE" w14:textId="285E692A" w:rsidR="00A1065A" w:rsidRDefault="00B4248B" w:rsidP="00C16A73">
    <w:pPr>
      <w:pStyle w:val="Header"/>
    </w:pPr>
    <w:r>
      <w:rPr>
        <w:noProof/>
      </w:rPr>
      <w:drawing>
        <wp:anchor distT="0" distB="0" distL="114300" distR="114300" simplePos="0" relativeHeight="251658240" behindDoc="0" locked="1" layoutInCell="1" allowOverlap="1" wp14:anchorId="6C06421E" wp14:editId="47236685">
          <wp:simplePos x="0" y="0"/>
          <wp:positionH relativeFrom="page">
            <wp:posOffset>414020</wp:posOffset>
          </wp:positionH>
          <wp:positionV relativeFrom="page">
            <wp:posOffset>413238</wp:posOffset>
          </wp:positionV>
          <wp:extent cx="838800" cy="907200"/>
          <wp:effectExtent l="0" t="0" r="0" b="762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800" cy="9072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F36DA3E" w14:textId="4C6ED700" w:rsidR="00A1065A" w:rsidRDefault="00F71CF6" w:rsidP="00A1065A">
    <w:pPr>
      <w:jc w:val="right"/>
      <w:rPr>
        <w:rFonts w:asciiTheme="majorHAnsi" w:hAnsiTheme="majorHAnsi" w:hint="eastAsia"/>
        <w:sz w:val="24"/>
        <w:szCs w:val="24"/>
      </w:rPr>
    </w:pPr>
    <w:r>
      <w:rPr>
        <w:rFonts w:asciiTheme="majorHAnsi" w:hAnsiTheme="majorHAnsi"/>
        <w:sz w:val="24"/>
        <w:szCs w:val="24"/>
      </w:rPr>
      <w:t>Default section text</w:t>
    </w:r>
  </w:p>
  <w:p w14:paraId="365F547D" w14:textId="52B3AC71" w:rsidR="00A1065A" w:rsidRPr="00A1065A" w:rsidRDefault="00F71CF6" w:rsidP="00A1065A">
    <w:pPr>
      <w:jc w:val="right"/>
      <w:rPr>
        <w:rFonts w:asciiTheme="majorHAnsi" w:hAnsiTheme="majorHAnsi" w:hint="eastAsia"/>
        <w:sz w:val="18"/>
        <w:szCs w:val="18"/>
      </w:rPr>
    </w:pPr>
    <w:r>
      <w:rPr>
        <w:rFonts w:asciiTheme="majorHAnsi" w:hAnsiTheme="majorHAnsi"/>
        <w:sz w:val="18"/>
        <w:szCs w:val="18"/>
      </w:rPr>
      <w:t>May 2021</w:t>
    </w:r>
  </w:p>
  <w:p w14:paraId="023922B2" w14:textId="77777777" w:rsidR="00A1065A" w:rsidRDefault="00B4248B" w:rsidP="00C16A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3420CC44" wp14:editId="69491F46">
              <wp:simplePos x="0" y="0"/>
              <wp:positionH relativeFrom="column">
                <wp:align>right</wp:align>
              </wp:positionH>
              <wp:positionV relativeFrom="page">
                <wp:posOffset>1072662</wp:posOffset>
              </wp:positionV>
              <wp:extent cx="3952800" cy="0"/>
              <wp:effectExtent l="0" t="0" r="2921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95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F0B161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page;mso-width-percent:0;mso-height-percent:0;mso-width-relative:margin;mso-height-relative:margin" from="260.05pt,84.45pt" to="571.3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" strokecolor="#285f93 [3049]">
              <w10:wrap anchory="page"/>
              <w10:anchorlock/>
            </v:line>
          </w:pict>
        </mc:Fallback>
      </mc:AlternateContent>
    </w:r>
  </w:p>
  <w:p w14:paraId="64F4ADA0" w14:textId="77777777" w:rsidR="00C16A73" w:rsidRDefault="00C16A73" w:rsidP="00C16A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1716F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B7"/>
    <w:rsid w:val="000A51F9"/>
    <w:rsid w:val="000C6160"/>
    <w:rsid w:val="00143F82"/>
    <w:rsid w:val="00251B2C"/>
    <w:rsid w:val="00394DF1"/>
    <w:rsid w:val="003D4C0B"/>
    <w:rsid w:val="00517B17"/>
    <w:rsid w:val="00557EAD"/>
    <w:rsid w:val="0056360E"/>
    <w:rsid w:val="0059527B"/>
    <w:rsid w:val="005965F2"/>
    <w:rsid w:val="005E3666"/>
    <w:rsid w:val="00657859"/>
    <w:rsid w:val="00691B2B"/>
    <w:rsid w:val="006A4384"/>
    <w:rsid w:val="00725C2D"/>
    <w:rsid w:val="00742FB7"/>
    <w:rsid w:val="00787C64"/>
    <w:rsid w:val="00874AA9"/>
    <w:rsid w:val="008F2825"/>
    <w:rsid w:val="00917F6D"/>
    <w:rsid w:val="00935DA8"/>
    <w:rsid w:val="00A1065A"/>
    <w:rsid w:val="00A13FD7"/>
    <w:rsid w:val="00B4248B"/>
    <w:rsid w:val="00B90A1F"/>
    <w:rsid w:val="00BF2524"/>
    <w:rsid w:val="00C16A73"/>
    <w:rsid w:val="00D7581C"/>
    <w:rsid w:val="00DE7FB5"/>
    <w:rsid w:val="00E027D9"/>
    <w:rsid w:val="00E05BB9"/>
    <w:rsid w:val="00E24317"/>
    <w:rsid w:val="00F069E3"/>
    <w:rsid w:val="00F36801"/>
    <w:rsid w:val="00F71CF6"/>
    <w:rsid w:val="00F865C1"/>
    <w:rsid w:val="00F953A0"/>
    <w:rsid w:val="00FB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F4F9E"/>
  <w15:chartTrackingRefBased/>
  <w15:docId w15:val="{EE5750E7-5BD1-4687-A6DD-890AC941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73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065A"/>
    <w:pPr>
      <w:keepNext/>
      <w:keepLines/>
      <w:numPr>
        <w:numId w:val="1"/>
      </w:numPr>
      <w:spacing w:before="180" w:after="0"/>
      <w:outlineLvl w:val="0"/>
    </w:pPr>
    <w:rPr>
      <w:rFonts w:asciiTheme="majorHAnsi" w:eastAsiaTheme="majorEastAsia" w:hAnsiTheme="majorHAnsi" w:cstheme="majorBidi"/>
      <w:color w:val="0F4A7F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65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A659C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65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3B95C3" w:themeColor="accent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B1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B9811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B1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B9811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B1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7A550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B1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7A550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B1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1566B1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B1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66B1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65A"/>
    <w:rPr>
      <w:rFonts w:asciiTheme="majorHAnsi" w:eastAsiaTheme="majorEastAsia" w:hAnsiTheme="majorHAnsi" w:cstheme="majorBidi"/>
      <w:color w:val="0F4A7F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6A7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A73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C16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3"/>
  </w:style>
  <w:style w:type="paragraph" w:styleId="Footer">
    <w:name w:val="footer"/>
    <w:basedOn w:val="Normal"/>
    <w:link w:val="FooterChar"/>
    <w:uiPriority w:val="99"/>
    <w:unhideWhenUsed/>
    <w:rsid w:val="00C16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3"/>
  </w:style>
  <w:style w:type="character" w:customStyle="1" w:styleId="Heading2Char">
    <w:name w:val="Heading 2 Char"/>
    <w:basedOn w:val="DefaultParagraphFont"/>
    <w:link w:val="Heading2"/>
    <w:uiPriority w:val="9"/>
    <w:rsid w:val="00A1065A"/>
    <w:rPr>
      <w:rFonts w:asciiTheme="majorHAnsi" w:eastAsiaTheme="majorEastAsia" w:hAnsiTheme="majorHAnsi" w:cstheme="majorBidi"/>
      <w:color w:val="2A659C" w:themeColor="accent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065A"/>
    <w:rPr>
      <w:rFonts w:asciiTheme="majorHAnsi" w:eastAsiaTheme="majorEastAsia" w:hAnsiTheme="majorHAnsi" w:cstheme="majorBidi"/>
      <w:color w:val="3B95C3" w:themeColor="accent5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65A"/>
    <w:pPr>
      <w:numPr>
        <w:ilvl w:val="1"/>
      </w:numPr>
      <w:spacing w:after="160"/>
    </w:pPr>
    <w:rPr>
      <w:color w:val="2A659C" w:themeColor="accent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65A"/>
    <w:rPr>
      <w:color w:val="2A659C" w:themeColor="accent6"/>
      <w:spacing w:val="15"/>
    </w:rPr>
  </w:style>
  <w:style w:type="character" w:styleId="SubtleEmphasis">
    <w:name w:val="Subtle Emphasis"/>
    <w:basedOn w:val="DefaultParagraphFont"/>
    <w:uiPriority w:val="19"/>
    <w:qFormat/>
    <w:rsid w:val="00F069E3"/>
    <w:rPr>
      <w:i/>
      <w:iCs/>
      <w:color w:val="1879D1" w:themeColor="text1" w:themeTint="BF"/>
    </w:rPr>
  </w:style>
  <w:style w:type="character" w:styleId="Emphasis">
    <w:name w:val="Emphasis"/>
    <w:basedOn w:val="DefaultParagraphFont"/>
    <w:uiPriority w:val="20"/>
    <w:qFormat/>
    <w:rsid w:val="00F069E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069E3"/>
    <w:rPr>
      <w:i/>
      <w:iCs/>
      <w:color w:val="E6A82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B17"/>
    <w:rPr>
      <w:rFonts w:asciiTheme="majorHAnsi" w:eastAsiaTheme="majorEastAsia" w:hAnsiTheme="majorHAnsi" w:cstheme="majorBidi"/>
      <w:i/>
      <w:iCs/>
      <w:color w:val="B9811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B17"/>
    <w:rPr>
      <w:rFonts w:asciiTheme="majorHAnsi" w:eastAsiaTheme="majorEastAsia" w:hAnsiTheme="majorHAnsi" w:cstheme="majorBidi"/>
      <w:color w:val="B9811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B17"/>
    <w:rPr>
      <w:rFonts w:asciiTheme="majorHAnsi" w:eastAsiaTheme="majorEastAsia" w:hAnsiTheme="majorHAnsi" w:cstheme="majorBidi"/>
      <w:color w:val="7A550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B17"/>
    <w:rPr>
      <w:rFonts w:asciiTheme="majorHAnsi" w:eastAsiaTheme="majorEastAsia" w:hAnsiTheme="majorHAnsi" w:cstheme="majorBidi"/>
      <w:i/>
      <w:iCs/>
      <w:color w:val="7A550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B17"/>
    <w:rPr>
      <w:rFonts w:asciiTheme="majorHAnsi" w:eastAsiaTheme="majorEastAsia" w:hAnsiTheme="majorHAnsi" w:cstheme="majorBidi"/>
      <w:color w:val="1566B1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B17"/>
    <w:rPr>
      <w:rFonts w:asciiTheme="majorHAnsi" w:eastAsiaTheme="majorEastAsia" w:hAnsiTheme="majorHAnsi" w:cstheme="majorBidi"/>
      <w:i/>
      <w:iCs/>
      <w:color w:val="1566B1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\Documents\Custom%20Office%20Templates\Blank%20Note.dotx" TargetMode="External"/></Relationships>
</file>

<file path=word/theme/theme1.xml><?xml version="1.0" encoding="utf-8"?>
<a:theme xmlns:a="http://schemas.openxmlformats.org/drawingml/2006/main" name="CoastalSEA">
  <a:themeElements>
    <a:clrScheme name="CoastalSEA">
      <a:dk1>
        <a:srgbClr val="0F4A7F"/>
      </a:dk1>
      <a:lt1>
        <a:srgbClr val="BDBAB4"/>
      </a:lt1>
      <a:dk2>
        <a:srgbClr val="4D504D"/>
      </a:dk2>
      <a:lt2>
        <a:srgbClr val="FFFFFE"/>
      </a:lt2>
      <a:accent1>
        <a:srgbClr val="E6A82F"/>
      </a:accent1>
      <a:accent2>
        <a:srgbClr val="ACA743"/>
      </a:accent2>
      <a:accent3>
        <a:srgbClr val="A5322B"/>
      </a:accent3>
      <a:accent4>
        <a:srgbClr val="5FAC99"/>
      </a:accent4>
      <a:accent5>
        <a:srgbClr val="3B95C3"/>
      </a:accent5>
      <a:accent6>
        <a:srgbClr val="2A659C"/>
      </a:accent6>
      <a:hlink>
        <a:srgbClr val="3B95C3"/>
      </a:hlink>
      <a:folHlink>
        <a:srgbClr val="E8A527"/>
      </a:folHlink>
    </a:clrScheme>
    <a:fontScheme name="CoastalSEA">
      <a:majorFont>
        <a:latin typeface="Questrial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Times New Roman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CoastalSEA" id="{5ABBA5C4-4710-4C09-8A99-420D62EC62D2}" vid="{25C23BF2-AD3E-44DB-874A-23D0AEC0DEC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0B111-CBA5-450A-81AA-7124060F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Note.dotx</Template>
  <TotalTime>10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Townend</dc:creator>
  <cp:keywords/>
  <dc:description/>
  <cp:lastModifiedBy>Ian Townend</cp:lastModifiedBy>
  <cp:revision>12</cp:revision>
  <dcterms:created xsi:type="dcterms:W3CDTF">2021-05-17T13:17:00Z</dcterms:created>
  <dcterms:modified xsi:type="dcterms:W3CDTF">2022-03-03T16:20:00Z</dcterms:modified>
</cp:coreProperties>
</file>