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team. My name is Broderick Stevens.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in charge of keeping us afloat with policy and compliance.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I awoke this morning, I heard on the radio during the long commute to our office that there has been another company that was subject to a security breach in their network and was ransomwared.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Imagine my surprise as I also discovered that we do not have an incident response policy. This of course made me quite... Unhappy. It is silly that we do not have policies in place. Thus I deign it of utmost importance that we start somewhere.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following are your tasks: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Provide for me an incident response policy.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Provide for me an incident response form.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incident response form should have at minimum: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 and time of incident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of incident (Malware, Breach, Other)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of incident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Attack Vector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Impact on services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Impact on information (i.e. were records accessed, modified, etc.)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Basically, we need something that should tell us the who, what, when, where, why, and how.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will require these items as quickly as you can provide them. Now chop chop while I go make some coffee and see what other policies we are missing...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Broderick Stevens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right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123 Nassau Street, New York City, New York 11230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928813" cy="7872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