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CASH FLOW STATEMENT</w:t>
      </w:r>
    </w:p>
    <w:p>
      <w:pPr>
        <w:jc w:val="center"/>
      </w:pPr>
      <w:r>
        <w:rPr>
          <w:sz w:val="18"/>
        </w:rPr>
        <w:t>Meridian Services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628"/>
          </w:tcPr>
          <w:p>
            <w:r>
              <w:t>Meridian Services Pvt. Ltd.</w:t>
            </w:r>
          </w:p>
        </w:tc>
        <w:tc>
          <w:tcPr>
            <w:tcW w:type="dxa" w:w="2628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628"/>
          </w:tcPr>
          <w:p>
            <w:r>
              <w:t>Q2 FY 2025-26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628"/>
          </w:tcPr>
          <w:p>
            <w:r>
              <w:t>Indirect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Cash Flow Category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Operating Activities</w:t>
            </w:r>
          </w:p>
        </w:tc>
        <w:tc>
          <w:tcPr>
            <w:tcW w:type="dxa" w:w="5256"/>
            <w:vAlign w:val="center"/>
          </w:tcPr>
          <w:p>
            <w:r>
              <w:t>₹200,798.00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Investing Activities</w:t>
            </w:r>
          </w:p>
        </w:tc>
        <w:tc>
          <w:tcPr>
            <w:tcW w:type="dxa" w:w="5256"/>
            <w:vAlign w:val="center"/>
          </w:tcPr>
          <w:p>
            <w:r>
              <w:t>₹-316,558.00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Financing Activities</w:t>
            </w:r>
          </w:p>
        </w:tc>
        <w:tc>
          <w:tcPr>
            <w:tcW w:type="dxa" w:w="5256"/>
            <w:vAlign w:val="center"/>
          </w:tcPr>
          <w:p>
            <w:r>
              <w:t>₹197,137.00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Change in Cash</w:t>
            </w:r>
          </w:p>
        </w:tc>
        <w:tc>
          <w:tcPr>
            <w:tcW w:type="dxa" w:w="5256"/>
            <w:vAlign w:val="center"/>
          </w:tcPr>
          <w:p>
            <w:r>
              <w:t>₹81,377.00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