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TRIAL BALANCE</w:t>
      </w:r>
    </w:p>
    <w:p>
      <w:pPr>
        <w:jc w:val="center"/>
      </w:pPr>
      <w:r>
        <w:rPr>
          <w:sz w:val="18"/>
        </w:rPr>
        <w:t>BluePeak Consulting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628"/>
          </w:tcPr>
          <w:p>
            <w:r>
              <w:t>BluePeak Consulting Pvt. Ltd.</w:t>
            </w:r>
          </w:p>
        </w:tc>
        <w:tc>
          <w:tcPr>
            <w:tcW w:type="dxa" w:w="2628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628"/>
          </w:tcPr>
          <w:p>
            <w:r>
              <w:t>31-08-2026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Account</w:t>
            </w:r>
          </w:p>
        </w:tc>
        <w:tc>
          <w:tcPr>
            <w:tcW w:type="dxa" w:w="3504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3504"/>
          </w:tcPr>
          <w:p>
            <w:r>
              <w:rPr>
                <w:b/>
              </w:rPr>
              <w:t>Credit</w:t>
            </w:r>
          </w:p>
        </w:tc>
      </w:tr>
      <w:tr>
        <w:tc>
          <w:tcPr>
            <w:tcW w:type="dxa" w:w="3504"/>
            <w:vAlign w:val="center"/>
          </w:tcPr>
          <w:p>
            <w:r>
              <w:t>Cash</w:t>
            </w:r>
          </w:p>
        </w:tc>
        <w:tc>
          <w:tcPr>
            <w:tcW w:type="dxa" w:w="3504"/>
            <w:vAlign w:val="center"/>
          </w:tcPr>
          <w:p>
            <w:r>
              <w:t>₹77,923.00</w:t>
            </w:r>
          </w:p>
        </w:tc>
        <w:tc>
          <w:tcPr>
            <w:tcW w:type="dxa" w:w="3504"/>
            <w:vAlign w:val="center"/>
          </w:tcPr>
          <w:p>
            <w:r>
              <w:t>₹33,526.00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Bank</w:t>
            </w:r>
          </w:p>
        </w:tc>
        <w:tc>
          <w:tcPr>
            <w:tcW w:type="dxa" w:w="3504"/>
            <w:vAlign w:val="center"/>
          </w:tcPr>
          <w:p>
            <w:r>
              <w:t>₹248,409.00</w:t>
            </w:r>
          </w:p>
        </w:tc>
        <w:tc>
          <w:tcPr>
            <w:tcW w:type="dxa" w:w="3504"/>
            <w:vAlign w:val="center"/>
          </w:tcPr>
          <w:p>
            <w:r>
              <w:t>₹244,081.00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Accounts Receivable</w:t>
            </w:r>
          </w:p>
        </w:tc>
        <w:tc>
          <w:tcPr>
            <w:tcW w:type="dxa" w:w="3504"/>
            <w:vAlign w:val="center"/>
          </w:tcPr>
          <w:p>
            <w:r>
              <w:t>₹100,910.00</w:t>
            </w:r>
          </w:p>
        </w:tc>
        <w:tc>
          <w:tcPr>
            <w:tcW w:type="dxa" w:w="3504"/>
            <w:vAlign w:val="center"/>
          </w:tcPr>
          <w:p>
            <w:r>
              <w:t>₹230,710.00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Inventory</w:t>
            </w:r>
          </w:p>
        </w:tc>
        <w:tc>
          <w:tcPr>
            <w:tcW w:type="dxa" w:w="3504"/>
            <w:vAlign w:val="center"/>
          </w:tcPr>
          <w:p>
            <w:r>
              <w:t>₹252,957.00</w:t>
            </w:r>
          </w:p>
        </w:tc>
        <w:tc>
          <w:tcPr>
            <w:tcW w:type="dxa" w:w="3504"/>
            <w:vAlign w:val="center"/>
          </w:tcPr>
          <w:p>
            <w:r>
              <w:t>₹76,054.00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Equipment</w:t>
            </w:r>
          </w:p>
        </w:tc>
        <w:tc>
          <w:tcPr>
            <w:tcW w:type="dxa" w:w="3504"/>
            <w:vAlign w:val="center"/>
          </w:tcPr>
          <w:p>
            <w:r>
              <w:t>₹60,980.00</w:t>
            </w:r>
          </w:p>
        </w:tc>
        <w:tc>
          <w:tcPr>
            <w:tcW w:type="dxa" w:w="3504"/>
            <w:vAlign w:val="center"/>
          </w:tcPr>
          <w:p>
            <w:r>
              <w:t>₹246,489.00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Accounts Payable</w:t>
            </w:r>
          </w:p>
        </w:tc>
        <w:tc>
          <w:tcPr>
            <w:tcW w:type="dxa" w:w="3504"/>
            <w:vAlign w:val="center"/>
          </w:tcPr>
          <w:p>
            <w:r>
              <w:t>₹142,284.00</w:t>
            </w:r>
          </w:p>
        </w:tc>
        <w:tc>
          <w:tcPr>
            <w:tcW w:type="dxa" w:w="3504"/>
            <w:vAlign w:val="center"/>
          </w:tcPr>
          <w:p>
            <w:r>
              <w:t>₹48,139.00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Revenue</w:t>
            </w:r>
          </w:p>
        </w:tc>
        <w:tc>
          <w:tcPr>
            <w:tcW w:type="dxa" w:w="3504"/>
            <w:vAlign w:val="center"/>
          </w:tcPr>
          <w:p>
            <w:r>
              <w:t>₹280,295.00</w:t>
            </w:r>
          </w:p>
        </w:tc>
        <w:tc>
          <w:tcPr>
            <w:tcW w:type="dxa" w:w="3504"/>
            <w:vAlign w:val="center"/>
          </w:tcPr>
          <w:p>
            <w:r>
              <w:t>₹262,671.00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Payroll</w:t>
            </w:r>
          </w:p>
        </w:tc>
        <w:tc>
          <w:tcPr>
            <w:tcW w:type="dxa" w:w="3504"/>
            <w:vAlign w:val="center"/>
          </w:tcPr>
          <w:p>
            <w:r>
              <w:t>₹229,457.00</w:t>
            </w:r>
          </w:p>
        </w:tc>
        <w:tc>
          <w:tcPr>
            <w:tcW w:type="dxa" w:w="3504"/>
            <w:vAlign w:val="center"/>
          </w:tcPr>
          <w:p>
            <w:r>
              <w:t>₹250,106.00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Rent</w:t>
            </w:r>
          </w:p>
        </w:tc>
        <w:tc>
          <w:tcPr>
            <w:tcW w:type="dxa" w:w="3504"/>
            <w:vAlign w:val="center"/>
          </w:tcPr>
          <w:p>
            <w:r>
              <w:t>₹250,874.00</w:t>
            </w:r>
          </w:p>
        </w:tc>
        <w:tc>
          <w:tcPr>
            <w:tcW w:type="dxa" w:w="3504"/>
            <w:vAlign w:val="center"/>
          </w:tcPr>
          <w:p>
            <w:r>
              <w:t>₹281,419.00</w:t>
            </w:r>
          </w:p>
        </w:tc>
      </w:tr>
      <w:tr>
        <w:tc>
          <w:tcPr>
            <w:tcW w:type="dxa" w:w="3504"/>
            <w:vAlign w:val="center"/>
          </w:tcPr>
          <w:p>
            <w:r>
              <w:t>Capital</w:t>
            </w:r>
          </w:p>
        </w:tc>
        <w:tc>
          <w:tcPr>
            <w:tcW w:type="dxa" w:w="3504"/>
            <w:vAlign w:val="center"/>
          </w:tcPr>
          <w:p>
            <w:r>
              <w:t>₹62,505.00</w:t>
            </w:r>
          </w:p>
        </w:tc>
        <w:tc>
          <w:tcPr>
            <w:tcW w:type="dxa" w:w="3504"/>
            <w:vAlign w:val="center"/>
          </w:tcPr>
          <w:p>
            <w:r>
              <w:t>₹281,350.00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