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40"/>
          <w:szCs w:val="40"/>
          <w:rtl w:val="0"/>
        </w:rPr>
        <w:t xml:space="preserve">Criminal Check</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Criminal record checks are among the most broadly utilized background screening tools, but they also happen to be one of the most complex and misunderstood. The two main categories of crimes include serious crimes and minor crimes.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As an employer, you must define your company’s values and where to draw the line when screening employees and hiring decisions. Let your candidates know there will be a police check, run that check, and ask during the interview if you feel it necessary.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person’s criminal history influences an organization’s wellbeing as well as occupation execution and capability. Suppose you are employing a stock chief who handles stock and assets (the activity requires an elevated level of trust). In that case, it’s essential to check whether the individual has ever been accused of burglary or extortion.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One thing is sure—criminal record checks are useful in making more sure, educated employing choices.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Consider using a national crime database checks and local police information. This search is based on the police Records Management Systems, which records police contact cases that might have brought about a conviction. This information includes charges, warrants, peace bonds, prohibition orders, release conditions, probation orders, summary convictions, etc.</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