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CASH FLOW STATEMENT</w:t>
      </w:r>
    </w:p>
    <w:p>
      <w:pPr>
        <w:jc w:val="center"/>
      </w:pPr>
      <w:r>
        <w:rPr>
          <w:sz w:val="18"/>
        </w:rPr>
        <w:t>BluePeak Consulting Pvt. Ltd. • SAMPLE / SYNTHETIC TEST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rPr>
                <w:b/>
              </w:rPr>
              <w:t>Company</w:t>
            </w:r>
          </w:p>
        </w:tc>
        <w:tc>
          <w:tcPr>
            <w:tcW w:type="dxa" w:w="2628"/>
          </w:tcPr>
          <w:p>
            <w:r>
              <w:t>BluePeak Consulting Pvt. Ltd.</w:t>
            </w:r>
          </w:p>
        </w:tc>
        <w:tc>
          <w:tcPr>
            <w:tcW w:type="dxa" w:w="2628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2628"/>
          </w:tcPr>
          <w:p>
            <w:r>
              <w:t>Q2 FY 2025-26</w:t>
            </w:r>
          </w:p>
        </w:tc>
      </w:tr>
      <w:tr>
        <w:tc>
          <w:tcPr>
            <w:tcW w:type="dxa" w:w="26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628"/>
          </w:tcPr>
          <w:p>
            <w:r>
              <w:t>Indirect</w:t>
            </w:r>
          </w:p>
        </w:tc>
        <w:tc>
          <w:tcPr>
            <w:tcW w:type="dxa" w:w="2628"/>
          </w:tcPr>
          <w:p/>
        </w:tc>
        <w:tc>
          <w:tcPr>
            <w:tcW w:type="dxa" w:w="2628"/>
          </w:tcPr>
          <w:p/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rPr>
                <w:b/>
              </w:rPr>
              <w:t>Cash Flow Category</w:t>
            </w:r>
          </w:p>
        </w:tc>
        <w:tc>
          <w:tcPr>
            <w:tcW w:type="dxa" w:w="5256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5256"/>
            <w:vAlign w:val="center"/>
          </w:tcPr>
          <w:p>
            <w:r>
              <w:t>Operating Activities</w:t>
            </w:r>
          </w:p>
        </w:tc>
        <w:tc>
          <w:tcPr>
            <w:tcW w:type="dxa" w:w="5256"/>
            <w:vAlign w:val="center"/>
          </w:tcPr>
          <w:p>
            <w:r>
              <w:t>₹412,833.00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Investing Activities</w:t>
            </w:r>
          </w:p>
        </w:tc>
        <w:tc>
          <w:tcPr>
            <w:tcW w:type="dxa" w:w="5256"/>
            <w:vAlign w:val="center"/>
          </w:tcPr>
          <w:p>
            <w:r>
              <w:t>₹-129,204.00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Financing Activities</w:t>
            </w:r>
          </w:p>
        </w:tc>
        <w:tc>
          <w:tcPr>
            <w:tcW w:type="dxa" w:w="5256"/>
            <w:vAlign w:val="center"/>
          </w:tcPr>
          <w:p>
            <w:r>
              <w:t>₹-47,326.00</w:t>
            </w:r>
          </w:p>
        </w:tc>
      </w:tr>
      <w:tr>
        <w:tc>
          <w:tcPr>
            <w:tcW w:type="dxa" w:w="5256"/>
            <w:vAlign w:val="center"/>
          </w:tcPr>
          <w:p>
            <w:r>
              <w:t>Net Change in Cash</w:t>
            </w:r>
          </w:p>
        </w:tc>
        <w:tc>
          <w:tcPr>
            <w:tcW w:type="dxa" w:w="5256"/>
            <w:vAlign w:val="center"/>
          </w:tcPr>
          <w:p>
            <w:r>
              <w:t>₹236,303.00</w:t>
            </w:r>
          </w:p>
        </w:tc>
      </w:tr>
    </w:tbl>
    <w:p>
      <w:r>
        <w:t>Fictional financial record created for application testing.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