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TRIAL BALANCE</w:t>
      </w:r>
    </w:p>
    <w:p>
      <w:pPr>
        <w:jc w:val="center"/>
      </w:pPr>
      <w:r>
        <w:rPr>
          <w:sz w:val="18"/>
        </w:rPr>
        <w:t>Nimbus Solutions Pvt. Ltd.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628"/>
          </w:tcPr>
          <w:p>
            <w:r>
              <w:t>Nimbus Solutions Pvt. Ltd.</w:t>
            </w:r>
          </w:p>
        </w:tc>
        <w:tc>
          <w:tcPr>
            <w:tcW w:type="dxa" w:w="2628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628"/>
          </w:tcPr>
          <w:p>
            <w:r>
              <w:t>31-08-2026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628"/>
          </w:tcPr>
          <w:p>
            <w:r>
              <w:t>INR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Account</w:t>
            </w:r>
          </w:p>
        </w:tc>
        <w:tc>
          <w:tcPr>
            <w:tcW w:type="dxa" w:w="3504"/>
          </w:tcPr>
          <w:p>
            <w:r>
              <w:rPr>
                <w:b/>
              </w:rPr>
              <w:t>Debit</w:t>
            </w:r>
          </w:p>
        </w:tc>
        <w:tc>
          <w:tcPr>
            <w:tcW w:type="dxa" w:w="3504"/>
          </w:tcPr>
          <w:p>
            <w:r>
              <w:rPr>
                <w:b/>
              </w:rPr>
              <w:t>Credit</w:t>
            </w:r>
          </w:p>
        </w:tc>
      </w:tr>
      <w:tr>
        <w:tc>
          <w:tcPr>
            <w:tcW w:type="dxa" w:w="3504"/>
            <w:vAlign w:val="center"/>
          </w:tcPr>
          <w:p>
            <w:r>
              <w:t>Cash</w:t>
            </w:r>
          </w:p>
        </w:tc>
        <w:tc>
          <w:tcPr>
            <w:tcW w:type="dxa" w:w="3504"/>
            <w:vAlign w:val="center"/>
          </w:tcPr>
          <w:p>
            <w:r>
              <w:t>₹104,837.00</w:t>
            </w:r>
          </w:p>
        </w:tc>
        <w:tc>
          <w:tcPr>
            <w:tcW w:type="dxa" w:w="3504"/>
            <w:vAlign w:val="center"/>
          </w:tcPr>
          <w:p>
            <w:r>
              <w:t>₹276,463.00</w:t>
            </w:r>
          </w:p>
        </w:tc>
      </w:tr>
      <w:tr>
        <w:tc>
          <w:tcPr>
            <w:tcW w:type="dxa" w:w="3504"/>
            <w:vAlign w:val="center"/>
          </w:tcPr>
          <w:p>
            <w:r>
              <w:t>Bank</w:t>
            </w:r>
          </w:p>
        </w:tc>
        <w:tc>
          <w:tcPr>
            <w:tcW w:type="dxa" w:w="3504"/>
            <w:vAlign w:val="center"/>
          </w:tcPr>
          <w:p>
            <w:r>
              <w:t>₹116,336.00</w:t>
            </w:r>
          </w:p>
        </w:tc>
        <w:tc>
          <w:tcPr>
            <w:tcW w:type="dxa" w:w="3504"/>
            <w:vAlign w:val="center"/>
          </w:tcPr>
          <w:p>
            <w:r>
              <w:t>₹223,618.00</w:t>
            </w:r>
          </w:p>
        </w:tc>
      </w:tr>
      <w:tr>
        <w:tc>
          <w:tcPr>
            <w:tcW w:type="dxa" w:w="3504"/>
            <w:vAlign w:val="center"/>
          </w:tcPr>
          <w:p>
            <w:r>
              <w:t>Accounts Receivable</w:t>
            </w:r>
          </w:p>
        </w:tc>
        <w:tc>
          <w:tcPr>
            <w:tcW w:type="dxa" w:w="3504"/>
            <w:vAlign w:val="center"/>
          </w:tcPr>
          <w:p>
            <w:r>
              <w:t>₹64,560.00</w:t>
            </w:r>
          </w:p>
        </w:tc>
        <w:tc>
          <w:tcPr>
            <w:tcW w:type="dxa" w:w="3504"/>
            <w:vAlign w:val="center"/>
          </w:tcPr>
          <w:p>
            <w:r>
              <w:t>₹177,866.00</w:t>
            </w:r>
          </w:p>
        </w:tc>
      </w:tr>
      <w:tr>
        <w:tc>
          <w:tcPr>
            <w:tcW w:type="dxa" w:w="3504"/>
            <w:vAlign w:val="center"/>
          </w:tcPr>
          <w:p>
            <w:r>
              <w:t>Inventory</w:t>
            </w:r>
          </w:p>
        </w:tc>
        <w:tc>
          <w:tcPr>
            <w:tcW w:type="dxa" w:w="3504"/>
            <w:vAlign w:val="center"/>
          </w:tcPr>
          <w:p>
            <w:r>
              <w:t>₹154,392.00</w:t>
            </w:r>
          </w:p>
        </w:tc>
        <w:tc>
          <w:tcPr>
            <w:tcW w:type="dxa" w:w="3504"/>
            <w:vAlign w:val="center"/>
          </w:tcPr>
          <w:p>
            <w:r>
              <w:t>₹148,737.00</w:t>
            </w:r>
          </w:p>
        </w:tc>
      </w:tr>
      <w:tr>
        <w:tc>
          <w:tcPr>
            <w:tcW w:type="dxa" w:w="3504"/>
            <w:vAlign w:val="center"/>
          </w:tcPr>
          <w:p>
            <w:r>
              <w:t>Equipment</w:t>
            </w:r>
          </w:p>
        </w:tc>
        <w:tc>
          <w:tcPr>
            <w:tcW w:type="dxa" w:w="3504"/>
            <w:vAlign w:val="center"/>
          </w:tcPr>
          <w:p>
            <w:r>
              <w:t>₹92,355.00</w:t>
            </w:r>
          </w:p>
        </w:tc>
        <w:tc>
          <w:tcPr>
            <w:tcW w:type="dxa" w:w="3504"/>
            <w:vAlign w:val="center"/>
          </w:tcPr>
          <w:p>
            <w:r>
              <w:t>₹142,102.00</w:t>
            </w:r>
          </w:p>
        </w:tc>
      </w:tr>
      <w:tr>
        <w:tc>
          <w:tcPr>
            <w:tcW w:type="dxa" w:w="3504"/>
            <w:vAlign w:val="center"/>
          </w:tcPr>
          <w:p>
            <w:r>
              <w:t>Accounts Payable</w:t>
            </w:r>
          </w:p>
        </w:tc>
        <w:tc>
          <w:tcPr>
            <w:tcW w:type="dxa" w:w="3504"/>
            <w:vAlign w:val="center"/>
          </w:tcPr>
          <w:p>
            <w:r>
              <w:t>₹96,419.00</w:t>
            </w:r>
          </w:p>
        </w:tc>
        <w:tc>
          <w:tcPr>
            <w:tcW w:type="dxa" w:w="3504"/>
            <w:vAlign w:val="center"/>
          </w:tcPr>
          <w:p>
            <w:r>
              <w:t>₹58,067.00</w:t>
            </w:r>
          </w:p>
        </w:tc>
      </w:tr>
      <w:tr>
        <w:tc>
          <w:tcPr>
            <w:tcW w:type="dxa" w:w="3504"/>
            <w:vAlign w:val="center"/>
          </w:tcPr>
          <w:p>
            <w:r>
              <w:t>Revenue</w:t>
            </w:r>
          </w:p>
        </w:tc>
        <w:tc>
          <w:tcPr>
            <w:tcW w:type="dxa" w:w="3504"/>
            <w:vAlign w:val="center"/>
          </w:tcPr>
          <w:p>
            <w:r>
              <w:t>₹118,762.00</w:t>
            </w:r>
          </w:p>
        </w:tc>
        <w:tc>
          <w:tcPr>
            <w:tcW w:type="dxa" w:w="3504"/>
            <w:vAlign w:val="center"/>
          </w:tcPr>
          <w:p>
            <w:r>
              <w:t>₹67,344.00</w:t>
            </w:r>
          </w:p>
        </w:tc>
      </w:tr>
      <w:tr>
        <w:tc>
          <w:tcPr>
            <w:tcW w:type="dxa" w:w="3504"/>
            <w:vAlign w:val="center"/>
          </w:tcPr>
          <w:p>
            <w:r>
              <w:t>Payroll</w:t>
            </w:r>
          </w:p>
        </w:tc>
        <w:tc>
          <w:tcPr>
            <w:tcW w:type="dxa" w:w="3504"/>
            <w:vAlign w:val="center"/>
          </w:tcPr>
          <w:p>
            <w:r>
              <w:t>₹88,664.00</w:t>
            </w:r>
          </w:p>
        </w:tc>
        <w:tc>
          <w:tcPr>
            <w:tcW w:type="dxa" w:w="3504"/>
            <w:vAlign w:val="center"/>
          </w:tcPr>
          <w:p>
            <w:r>
              <w:t>₹256,889.00</w:t>
            </w:r>
          </w:p>
        </w:tc>
      </w:tr>
      <w:tr>
        <w:tc>
          <w:tcPr>
            <w:tcW w:type="dxa" w:w="3504"/>
            <w:vAlign w:val="center"/>
          </w:tcPr>
          <w:p>
            <w:r>
              <w:t>Rent</w:t>
            </w:r>
          </w:p>
        </w:tc>
        <w:tc>
          <w:tcPr>
            <w:tcW w:type="dxa" w:w="3504"/>
            <w:vAlign w:val="center"/>
          </w:tcPr>
          <w:p>
            <w:r>
              <w:t>₹80,708.00</w:t>
            </w:r>
          </w:p>
        </w:tc>
        <w:tc>
          <w:tcPr>
            <w:tcW w:type="dxa" w:w="3504"/>
            <w:vAlign w:val="center"/>
          </w:tcPr>
          <w:p>
            <w:r>
              <w:t>₹186,516.00</w:t>
            </w:r>
          </w:p>
        </w:tc>
      </w:tr>
      <w:tr>
        <w:tc>
          <w:tcPr>
            <w:tcW w:type="dxa" w:w="3504"/>
            <w:vAlign w:val="center"/>
          </w:tcPr>
          <w:p>
            <w:r>
              <w:t>Capital</w:t>
            </w:r>
          </w:p>
        </w:tc>
        <w:tc>
          <w:tcPr>
            <w:tcW w:type="dxa" w:w="3504"/>
            <w:vAlign w:val="center"/>
          </w:tcPr>
          <w:p>
            <w:r>
              <w:t>₹20,724.00</w:t>
            </w:r>
          </w:p>
        </w:tc>
        <w:tc>
          <w:tcPr>
            <w:tcW w:type="dxa" w:w="3504"/>
            <w:vAlign w:val="center"/>
          </w:tcPr>
          <w:p>
            <w:r>
              <w:t>₹188,859.00</w:t>
            </w:r>
          </w:p>
        </w:tc>
      </w:tr>
    </w:tbl>
    <w:p>
      <w:r>
        <w:t>Fictional financial record created for application testing.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