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2A44"/>
          <w:spacing w:val="30"/>
          <w:sz w:val="32"/>
          <w:szCs w:val="32"/>
        </w:rPr>
        <w:t xml:space="preserve">PRE-VISIT CLINICAL SNAPSHOT</w:t>
      </w:r>
    </w:p>
    <w:p>
      <w:pPr>
        <w:pBdr>
          <w:bottom w:val="single" w:color="2E5BBA" w:sz="12" w:space="6"/>
        </w:pBdr>
        <w:spacing w:after="2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AI-assisted intake  •  60-second read  •  Decision support, not a diagnostic instrument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Patient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James [Last]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Visit type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medicine, follow-up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Patient goal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 protocol, quit nicotine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Labs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Drawn last week — results in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Time off work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Begins next week (4–6 wk window)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A441" w:sz="12"/>
              <w:left w:val="single" w:color="D9A441" w:sz="12"/>
              <w:bottom w:val="single" w:color="D9A441" w:sz="12"/>
              <w:right w:val="single" w:color="D9A441" w:sz="12"/>
            </w:tcBorders>
            <w:shd w:fill="FFF7E6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5A00"/>
                <w:spacing w:val="20"/>
                <w:sz w:val="20"/>
                <w:szCs w:val="20"/>
              </w:rPr>
              <w:t xml:space="preserve">SINCE LAST VISIT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New: </w:t>
            </w:r>
            <w:r>
              <w:rPr>
                <w:rFonts w:ascii="Arial" w:cs="Arial" w:eastAsia="Arial" w:hAnsi="Arial"/>
              </w:rPr>
              <w:t xml:space="preserve">acute reactive symptoms to nicotine pouches (neck flare, dizziness, tinnitus) — flagged receptor sensitivity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Started: </w:t>
            </w:r>
            <w:r>
              <w:rPr>
                <w:rFonts w:ascii="Arial" w:cs="Arial" w:eastAsia="Arial" w:hAnsi="Arial"/>
              </w:rPr>
              <w:t xml:space="preserve">daily walks; sleep window shifted earlier (~1am from 3am); diet expanded from OMAD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Stopped: </w:t>
            </w:r>
            <w:r>
              <w:rPr>
                <w:rFonts w:ascii="Arial" w:cs="Arial" w:eastAsia="Arial" w:hAnsi="Arial"/>
              </w:rPr>
              <w:t xml:space="preserve">methylfolate trial (depressive response); collagen (same pattern); aggressive cervical contour pillow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Pending: </w:t>
            </w:r>
            <w:r>
              <w:rPr>
                <w:rFonts w:ascii="Arial" w:cs="Arial" w:eastAsia="Arial" w:hAnsi="Arial"/>
              </w:rPr>
              <w:t xml:space="preserve">full panel results — hormones, methylation, gut, inflammation (drawn last week)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Patient priority: </w:t>
            </w:r>
            <w:r>
              <w:rPr>
                <w:rFonts w:ascii="Arial" w:cs="Arial" w:eastAsia="Arial" w:hAnsi="Arial"/>
              </w:rPr>
              <w:t xml:space="preserve">nicotine cessation during upcoming time-off window with physician-supported plan</w:t>
            </w:r>
          </w:p>
        </w:tc>
      </w:tr>
    </w:tbl>
    <w:p>
      <w:pPr>
        <w:spacing w:after="80"/>
      </w:pPr>
    </w:p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CHIEF COMPLAINT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Cervicogenic cognitive dysfunction: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daily fluctuating brain fog, anhedonia, and “spaced out” feeling that tracks tightly with upper cervical state. Patient identifies this as the highest-impact daily symptom.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TRT protocol concern: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patient suspects current compounded testosterone cream (≈80–100mg/day topical) is not optimally absorbed; persistent baseline weakness despite TRT. Prior prescriber crashed estradiol; homocysteine missed at 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Smoking cessation support: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long-term smokeless tobacco use; recent reactive symptoms to nicotine pouches (acute neck flare, dizziness, tinnitus) suggest receptor sensitivity. Patient ready to quit with proper support during time off.</w:t>
      </w:r>
    </w:p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SYMPTOM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Acute FQAD event ~4 yrs ago: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fluoroquinolone-associated disability with prominent trigeminal involvement (“skull sunburn,” headset-pressure dysesthesia). Acute symptoms have largely faded; baseline sensitization remains.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Post-acute (yrs 1–3):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intermittent peripheral nerve symptoms (lateral thigh paresthesias, mid-back pins-and-needles), trigeminal V2/V3 referral (cheek tingles, tooth pain), occipital and skull aches, slowly developing GI dysfunction.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Recent 6–12 months: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progressive deconditioning, restrictive eating pattern (chicken/eggs primary, OMAD x ~30 days), tinnitus episodes, post-meal dysautonomic dissociation, sleep position-dependent cognitive variability.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Current trajectory: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highly responsive to inputs both directions; clear windows correlate with cervical decompression and nicotine-free intervals. Establishes capacity is intact; sensitization is reversible.</w:t>
      </w:r>
    </w:p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CURRENT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Concern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TRT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Compounded testosterone cream 200mg/mL, 2 clicks daily AM (≈80–100mg/d)</w:t>
            </w:r>
          </w:p>
        </w:tc>
        <w:tc>
          <w:tcPr>
            <w:tcW w:type="dxa" w:w="3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Persistent weakness; cream absorption + DHT conversion concerns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Supplements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None active. Stack queued for time-off launch: riboflavin 5-P, hydroxy-B12, folinic acid, TMG, creatine, zinc carnosine, DGL, L-glutamine</w:t>
            </w:r>
          </w:p>
        </w:tc>
        <w:tc>
          <w:tcPr>
            <w:tcW w:type="dxa" w:w="3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Targeted at homocysteine + gastric lining + mitochondrial support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Tolerances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Not tolerated: methylfolate, magnesium glycinate, collagen (depressive response — possible glycine sensitivity / overmethylation)</w:t>
            </w:r>
          </w:p>
        </w:tc>
        <w:tc>
          <w:tcPr>
            <w:tcW w:type="dxa" w:w="3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Avoid all glycine-heavy interventions including bone broth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Tobacco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Long-term loose-leaf smokeless tobacco, daily. Tried pouches — acute reaction.</w:t>
            </w:r>
          </w:p>
        </w:tc>
        <w:tc>
          <w:tcPr>
            <w:tcW w:type="dxa" w:w="3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Quit plan needed; NRT route TBD by physician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Lifestyle</w:t>
            </w:r>
          </w:p>
        </w:tc>
        <w:tc>
          <w:tcPr>
            <w:tcW w:type="dxa" w:w="4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Sedentary x ~3 yrs; eating expanded from OMAD; sleep shifted earlier (1am from 3am); daily walks added</w:t>
            </w:r>
          </w:p>
        </w:tc>
        <w:tc>
          <w:tcPr>
            <w:tcW w:type="dxa" w:w="34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Active behavioral change underway</w:t>
            </w:r>
          </w:p>
        </w:tc>
      </w:tr>
    </w:tbl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WHAT’S BEEN TRIED — PATIENT-REPORTED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Helped: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elimination of nicotine (even brief windows produce immediate clarity), real food after fasting, walking, sleep on cervical-neutral surface, magnesium malate / threonate (tolerated, unlike glycinate).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Did not help / made worse: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OMAD long-term (initial relief, eventual depletion), Gatorade-primary hydration (driving symptoms), nicotine pouches (acute sympathetic reaction), aggressive cervical contour pillow, lying flat with active reflux.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Mixed signal: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wedge sleeping reduces reflux but worsens cervical alignment; flat sleeping helps cervical but provokes overnight reflux. Reflux is the constraining variable.</w:t>
      </w:r>
    </w:p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RELEVANT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FQAD baseline: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documented neurotoxic injury 4 years ago. Trigeminal sensitization, peripheral small-fiber pattern, connective tissue and mitochondrial residual.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Upper cervical dysfunction: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chronic forward-head posture (4+ yrs heavy gaming), suboccipital and upper trap guarding, deep neck flexor deconditioning, trigeminocervical referral pattern. Pulse-synchronous occipital throbbing during exertion (positional, fluctuates with cervical state).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GI: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chronic gastritis pattern, probable hiatal/diaphragmatic involvement (post-prandial diaphragmatic pressure relieved by sitting), narrowed food tolerance suggesting microbiome restriction, possible histamine/mast-cell component.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A44"/>
        </w:rPr>
        <w:t xml:space="preserve">Imaging / workup: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prior ER eval clean (pancreas, gallbladder, liver). No structural disease identified. No prior cardiac workup.</w:t>
      </w:r>
    </w:p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LAB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Homocysteine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</w:rPr>
              <w:t xml:space="preserve">32 µmol/L</w:t>
            </w:r>
          </w:p>
        </w:tc>
        <w:tc>
          <w:tcPr>
            <w:tcW w:type="dxa" w:w="5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Significantly elevated. Targets methylation stack. Re-draw scheduled.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Estradiol (prior)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</w:rPr>
              <w:t xml:space="preserve">Crashed</w:t>
            </w:r>
          </w:p>
        </w:tc>
        <w:tc>
          <w:tcPr>
            <w:tcW w:type="dxa" w:w="5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Per patient: previous prescriber drove E2 too low. Sensitive assay needed.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Free testosterone (prior)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</w:rPr>
              <w:t xml:space="preserve">Drifted low</w:t>
            </w:r>
          </w:p>
        </w:tc>
        <w:tc>
          <w:tcPr>
            <w:tcW w:type="dxa" w:w="5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Despite total T in range. SHBG and direct free T worth confirming.</w:t>
            </w:r>
          </w:p>
        </w:tc>
      </w:tr>
      <w:t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This visit’s panel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</w:rPr>
              <w:t xml:space="preserve">Pending review</w:t>
            </w:r>
          </w:p>
        </w:tc>
        <w:tc>
          <w:tcPr>
            <w:tcW w:type="dxa" w:w="51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Full hormones, methylation, gut, inflammation — drawn last week.</w:t>
            </w:r>
          </w:p>
        </w:tc>
      </w:tr>
    </w:tbl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CONSIDERATIONS FOR PHYSICIAN REVIEW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Pattern-based hypotheses for clinical evaluation — not diagnoses. Provided to support, not replace, physician judgment.</w:t>
      </w:r>
    </w:p>
    <w:p>
      <w:pPr>
        <w:spacing w:after="100" w:before="100"/>
        <w:ind w:left="360" w:hanging="36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A44"/>
        </w:rPr>
        <w:t xml:space="preserve">TRT protocol optimization.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Current cream protocol may be underperforming. Consider evaluating SHBG, direct free T, sensitive E2, DHT, and hematocrit; injectable cypionate at 2x weekly dosing may provide more stable levels for this patient profile. HCG adjunct worth discussing.</w:t>
      </w:r>
    </w:p>
    <w:p>
      <w:pPr>
        <w:spacing w:after="100" w:before="100"/>
        <w:ind w:left="360" w:hanging="36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A44"/>
        </w:rPr>
        <w:t xml:space="preserve">Methylation-driven symptom amplification.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Homocysteine of 32 may be contributing to cervical-vascular component, neurotoxic load, and mood/cognitive flatness. Patient’s queued stack (riboflavin 5-P, hydroxy-B12, folinic acid, TMG) is appropriately structured. Confirm folate/B12 status and MTHFR/COMT if not already done.</w:t>
      </w:r>
    </w:p>
    <w:p>
      <w:pPr>
        <w:spacing w:after="100" w:before="100"/>
        <w:ind w:left="360" w:hanging="36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A44"/>
        </w:rPr>
        <w:t xml:space="preserve">Smoking cessation strategy.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Long-term user with apparent receptor sensitivity (acute reaction to alkaline-buffered pouch products). Patch-based NRT (steady-state) preferred over fast-delivery forms; consider Wellbutrin or varenicline as adjunct. Time-off window optimal for initiation.</w:t>
      </w:r>
    </w:p>
    <w:p>
      <w:pPr>
        <w:spacing w:after="100" w:before="100"/>
        <w:ind w:left="360" w:hanging="360"/>
      </w:pPr>
      <w:r>
        <w:rPr>
          <w:rFonts w:ascii="Arial" w:cs="Arial" w:eastAsia="Arial" w:hAnsi="Arial"/>
          <w:b/>
          <w:bCs/>
          <w:color w:val="2E5BBA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F2A44"/>
        </w:rPr>
        <w:t xml:space="preserve">Diaphragmatic / hiatal evaluation.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</w:rPr>
        <w:t xml:space="preserve">Post-prandial upper abdominal pressure with positional relief, intermittent bile-pattern symptoms, and reflux constraining sleep position together raise question of hiatal involvement. Upper GI imaging may be informative if symptoms persist past initial protocol.</w:t>
      </w:r>
    </w:p>
    <w:p>
      <w:pPr>
        <w:pBdr>
          <w:bottom w:val="single" w:color="2E5BBA" w:sz="8" w:space="4"/>
        </w:pBdr>
        <w:spacing w:after="120" w:before="220"/>
      </w:pPr>
      <w:r>
        <w:rPr>
          <w:rFonts w:ascii="Arial" w:cs="Arial" w:eastAsia="Arial" w:hAnsi="Arial"/>
          <w:b/>
          <w:bCs/>
          <w:color w:val="1F2A44"/>
          <w:spacing w:val="20"/>
          <w:sz w:val="22"/>
          <w:szCs w:val="22"/>
        </w:rPr>
        <w:t xml:space="preserve">BETWEEN-VISITS PATIENT LOG</w:t>
      </w:r>
    </w:p>
    <w:p>
      <w:pPr>
        <w:keepNext/>
        <w:spacing w:after="1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Structured check-ins captured by the patient-facing agent between appointments. Routine entries flow into a physician digest; flagged entries surface for direct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Check-in (agent log)</w:t>
            </w:r>
          </w:p>
        </w:tc>
        <w:tc>
          <w:tcPr>
            <w:tcW w:type="dxa" w:w="2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Day 4</w:t>
            </w:r>
          </w:p>
        </w:tc>
        <w:tc>
          <w:tcPr>
            <w:tcW w:type="dxa" w:w="5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“Tried a nicotine pouch this afternoon. Within 20 min: neck flared up, dizziness, ringing in ears. Sat down for an hour and it eased. Going back to zero nicotine until I see you.”</w:t>
            </w:r>
          </w:p>
        </w:tc>
        <w:tc>
          <w:tcPr>
            <w:tcW w:type="dxa" w:w="2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BBA"/>
              </w:rPr>
              <w:t xml:space="preserve">Logged → physician digest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Day 11</w:t>
            </w:r>
          </w:p>
        </w:tc>
        <w:tc>
          <w:tcPr>
            <w:tcW w:type="dxa" w:w="5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“Sleep is better since shifting to 1am. Brain fog clearer in the morning. Still weak overall. Cream applied AM as usual — no change in libido, energy still flat.”</w:t>
            </w:r>
          </w:p>
        </w:tc>
        <w:tc>
          <w:tcPr>
            <w:tcW w:type="dxa" w:w="2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4F6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BBA"/>
              </w:rPr>
              <w:t xml:space="preserve">Logged → physician digest</w:t>
            </w:r>
          </w:p>
        </w:tc>
      </w:tr>
      <w:tr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A44"/>
              </w:rPr>
              <w:t xml:space="preserve">Day 18</w:t>
            </w:r>
          </w:p>
        </w:tc>
        <w:tc>
          <w:tcPr>
            <w:tcW w:type="dxa" w:w="5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</w:rPr>
              <w:t xml:space="preserve">“Woke up with right-temple throb during a walk this morning, pulsed with my heartbeat for ~5 min, then faded when I stopped. No vision change. Logging in case it matters.”</w:t>
            </w:r>
          </w:p>
        </w:tc>
        <w:tc>
          <w:tcPr>
            <w:tcW w:type="dxa" w:w="236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BBA"/>
              </w:rPr>
              <w:t xml:space="preserve">Flagged → review before next visit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Generated by AI pre-visit agent for physician review only. Not a diagnostic device. Not patient-facing clinical advice. 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pacing w:val="20"/>
        <w:sz w:val="16"/>
        <w:szCs w:val="16"/>
      </w:rPr>
      <w:t xml:space="preserve">CONFIDENTIAL  •  PATIENT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line="280"/>
    </w:pPr>
    <w:rPr>
      <w:rFonts w:ascii="Arial" w:cs="Arial" w:eastAsia="Arial" w:hAnsi="Arial"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Pre-Visit Clinical Snapshot</dc:title>
  <dc:creator>Cobb &amp; Co</dc:creator>
  <cp:lastModifiedBy>Un-named</cp:lastModifiedBy>
  <cp:revision>1</cp:revision>
  <dcterms:created xsi:type="dcterms:W3CDTF">2026-05-01T18:11:27.485Z</dcterms:created>
  <dcterms:modified xsi:type="dcterms:W3CDTF">2026-05-01T18:11:27.486Z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