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C317C3">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6EC77293" w14:textId="4B5768E6" w:rsidR="00492E9C" w:rsidRDefault="00476F66" w:rsidP="008A0613">
      <w:pPr>
        <w:pStyle w:val="2"/>
        <w:ind w:firstLine="560"/>
        <w:rPr>
          <w:lang w:eastAsia="zh-CN"/>
        </w:rPr>
      </w:pPr>
      <w:bookmarkStart w:id="1" w:name="heading-2"/>
      <w:r w:rsidRPr="00476F66">
        <w:rPr>
          <w:rFonts w:hint="eastAsia"/>
          <w:lang w:eastAsia="zh-CN"/>
        </w:rPr>
        <w:t>进一步讨论</w:t>
      </w:r>
      <w:r>
        <w:rPr>
          <w:rFonts w:hint="eastAsia"/>
          <w:lang w:eastAsia="zh-CN"/>
        </w:rPr>
        <w:t>参与者，威胁模型与隐私</w:t>
      </w:r>
      <w:bookmarkEnd w:id="1"/>
    </w:p>
    <w:p w14:paraId="248C9FCA" w14:textId="530E0800"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r w:rsidRPr="00CA50D6">
        <w:rPr>
          <w:rFonts w:hint="eastAsia"/>
          <w:color w:val="FF0000"/>
          <w:lang w:eastAsia="zh-CN"/>
        </w:rPr>
        <w:t>Bittau</w:t>
      </w:r>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55106491"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74EE1C3B"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，以及诸如差异性隐私保证、诚信但好奇行为等安全性概念，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6F0FC41C"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实现联邦学习所需的所有隐私属性通常需要将下述的许多工具和技术组合到端到端系统中，可能</w:t>
      </w:r>
      <w:r w:rsidR="00E3653C">
        <w:rPr>
          <w:rFonts w:hint="eastAsia"/>
          <w:lang w:eastAsia="zh-CN"/>
        </w:rPr>
        <w:t>两种分层策略都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3D439A45" w14:textId="35D1514F" w:rsidR="0016425F" w:rsidRDefault="0016425F" w:rsidP="00683589">
      <w:pPr>
        <w:pStyle w:val="a0"/>
        <w:ind w:firstLine="420"/>
        <w:rPr>
          <w:lang w:eastAsia="zh-CN"/>
        </w:rPr>
      </w:pPr>
      <w:bookmarkStart w:id="2" w:name="_GoBack"/>
      <w:bookmarkEnd w:id="2"/>
      <w:r w:rsidRPr="0016425F">
        <w:rPr>
          <w:lang w:eastAsia="zh-CN"/>
        </w:rPr>
        <w:t xml:space="preserve">As such, we advocate for building federated systems wherein the privacy properties degrade as gracefully as possible in cases where one technique or another fails to provide its intended privacy </w:t>
      </w:r>
      <w:r w:rsidRPr="0016425F">
        <w:rPr>
          <w:lang w:eastAsia="zh-CN"/>
        </w:rPr>
        <w:lastRenderedPageBreak/>
        <w:t>contribution. For example, running the server component of an MPC protocol inside a TEE might allow privacy to be maintained even in the case where either (but not both) of the TEE security or MPC security assumptions fails</w:t>
      </w:r>
      <w:r>
        <w:rPr>
          <w:lang w:eastAsia="zh-CN"/>
        </w:rPr>
        <w:t xml:space="preserve"> </w:t>
      </w:r>
      <w:r w:rsidRPr="0016425F">
        <w:rPr>
          <w:lang w:eastAsia="zh-CN"/>
        </w:rPr>
        <w:t>to</w:t>
      </w:r>
      <w:r>
        <w:rPr>
          <w:lang w:eastAsia="zh-CN"/>
        </w:rPr>
        <w:t xml:space="preserve"> </w:t>
      </w:r>
      <w:r w:rsidRPr="0016425F">
        <w:rPr>
          <w:lang w:eastAsia="zh-CN"/>
        </w:rPr>
        <w:t>hold</w:t>
      </w:r>
      <w:r>
        <w:rPr>
          <w:lang w:eastAsia="zh-CN"/>
        </w:rPr>
        <w:t xml:space="preserve"> </w:t>
      </w:r>
      <w:r w:rsidRPr="0016425F">
        <w:rPr>
          <w:lang w:eastAsia="zh-CN"/>
        </w:rPr>
        <w:t>in</w:t>
      </w:r>
      <w:r>
        <w:rPr>
          <w:lang w:eastAsia="zh-CN"/>
        </w:rPr>
        <w:t xml:space="preserve"> </w:t>
      </w:r>
      <w:r w:rsidRPr="0016425F">
        <w:rPr>
          <w:lang w:eastAsia="zh-CN"/>
        </w:rPr>
        <w:t>practice.</w:t>
      </w:r>
      <w:r>
        <w:rPr>
          <w:lang w:eastAsia="zh-CN"/>
        </w:rPr>
        <w:t xml:space="preserve"> </w:t>
      </w:r>
      <w:r w:rsidRPr="0016425F">
        <w:rPr>
          <w:lang w:eastAsia="zh-CN"/>
        </w:rPr>
        <w:t xml:space="preserve"> As</w:t>
      </w:r>
      <w:r>
        <w:rPr>
          <w:lang w:eastAsia="zh-CN"/>
        </w:rPr>
        <w:t xml:space="preserve"> </w:t>
      </w:r>
      <w:r w:rsidRPr="0016425F">
        <w:rPr>
          <w:lang w:eastAsia="zh-CN"/>
        </w:rPr>
        <w:t>another</w:t>
      </w:r>
      <w:r>
        <w:rPr>
          <w:lang w:eastAsia="zh-CN"/>
        </w:rPr>
        <w:t xml:space="preserve"> </w:t>
      </w:r>
      <w:r w:rsidRPr="0016425F">
        <w:rPr>
          <w:lang w:eastAsia="zh-CN"/>
        </w:rPr>
        <w:t>example,</w:t>
      </w:r>
      <w:r>
        <w:rPr>
          <w:lang w:eastAsia="zh-CN"/>
        </w:rPr>
        <w:t xml:space="preserve"> </w:t>
      </w:r>
      <w:r w:rsidRPr="0016425F">
        <w:rPr>
          <w:lang w:eastAsia="zh-CN"/>
        </w:rPr>
        <w:t>requiring</w:t>
      </w:r>
      <w:r>
        <w:rPr>
          <w:lang w:eastAsia="zh-CN"/>
        </w:rPr>
        <w:t xml:space="preserve"> </w:t>
      </w:r>
      <w:r w:rsidRPr="0016425F">
        <w:rPr>
          <w:lang w:eastAsia="zh-CN"/>
        </w:rPr>
        <w:t>clients</w:t>
      </w:r>
      <w:r>
        <w:rPr>
          <w:lang w:eastAsia="zh-CN"/>
        </w:rPr>
        <w:t xml:space="preserve"> </w:t>
      </w:r>
      <w:r w:rsidRPr="0016425F">
        <w:rPr>
          <w:lang w:eastAsia="zh-CN"/>
        </w:rPr>
        <w:t>to</w:t>
      </w:r>
      <w:r>
        <w:rPr>
          <w:lang w:eastAsia="zh-CN"/>
        </w:rPr>
        <w:t xml:space="preserve"> </w:t>
      </w:r>
      <w:r w:rsidRPr="0016425F">
        <w:rPr>
          <w:lang w:eastAsia="zh-CN"/>
        </w:rPr>
        <w:t>send</w:t>
      </w:r>
      <w:r>
        <w:rPr>
          <w:lang w:eastAsia="zh-CN"/>
        </w:rPr>
        <w:t xml:space="preserve"> </w:t>
      </w:r>
      <w:r w:rsidRPr="0016425F">
        <w:rPr>
          <w:lang w:eastAsia="zh-CN"/>
        </w:rPr>
        <w:t>raw</w:t>
      </w:r>
      <w:r>
        <w:rPr>
          <w:lang w:eastAsia="zh-CN"/>
        </w:rPr>
        <w:t xml:space="preserve"> </w:t>
      </w:r>
      <w:r w:rsidRPr="0016425F">
        <w:rPr>
          <w:lang w:eastAsia="zh-CN"/>
        </w:rPr>
        <w:t>training</w:t>
      </w:r>
      <w:r>
        <w:rPr>
          <w:lang w:eastAsia="zh-CN"/>
        </w:rPr>
        <w:t xml:space="preserve"> </w:t>
      </w:r>
      <w:r w:rsidRPr="0016425F">
        <w:rPr>
          <w:lang w:eastAsia="zh-CN"/>
        </w:rPr>
        <w:t>examples</w:t>
      </w:r>
      <w:r>
        <w:rPr>
          <w:lang w:eastAsia="zh-CN"/>
        </w:rPr>
        <w:t xml:space="preserve"> </w:t>
      </w:r>
      <w:r w:rsidRPr="0016425F">
        <w:rPr>
          <w:lang w:eastAsia="zh-CN"/>
        </w:rPr>
        <w:t>to</w:t>
      </w:r>
      <w:r>
        <w:rPr>
          <w:lang w:eastAsia="zh-CN"/>
        </w:rPr>
        <w:t xml:space="preserve"> </w:t>
      </w:r>
      <w:r w:rsidRPr="0016425F">
        <w:rPr>
          <w:lang w:eastAsia="zh-CN"/>
        </w:rPr>
        <w:t>a</w:t>
      </w:r>
      <w:r>
        <w:rPr>
          <w:lang w:eastAsia="zh-CN"/>
        </w:rPr>
        <w:t xml:space="preserve"> </w:t>
      </w:r>
      <w:r w:rsidRPr="0016425F">
        <w:rPr>
          <w:lang w:eastAsia="zh-CN"/>
        </w:rPr>
        <w:t>server-side TEE would be strongly dispreferred to having clients send gradient updates to a server-side TEE, as the latter’s privacy expectations degrade much more gracefully if the TEE’s security were to fail. We refer to this principle of graceful degradation as “Privacy in Depth,” in analogy to the well-established network security principle of defense in depth [311].</w:t>
      </w:r>
    </w:p>
    <w:p w14:paraId="74835534" w14:textId="072E843F" w:rsidR="00492E9C" w:rsidRDefault="0049109C">
      <w:pPr>
        <w:pStyle w:val="3"/>
        <w:ind w:firstLine="482"/>
      </w:pPr>
      <w:bookmarkStart w:id="3" w:name="heading-3"/>
      <w:r>
        <w:t xml:space="preserve">Heading 3 </w:t>
      </w:r>
      <w:bookmarkEnd w:id="3"/>
    </w:p>
    <w:p w14:paraId="6D68A9FE" w14:textId="77777777" w:rsidR="00492E9C" w:rsidRDefault="0049109C">
      <w:pPr>
        <w:pStyle w:val="4"/>
        <w:spacing w:after="120"/>
        <w:ind w:firstLine="482"/>
      </w:pPr>
      <w:bookmarkStart w:id="4" w:name="heading-4"/>
      <w:r>
        <w:t xml:space="preserve"> Heading 4 </w:t>
      </w:r>
      <w:bookmarkEnd w:id="4"/>
    </w:p>
    <w:p w14:paraId="634E6A16" w14:textId="77777777" w:rsidR="00492E9C" w:rsidRDefault="0049109C">
      <w:pPr>
        <w:pStyle w:val="5"/>
      </w:pPr>
      <w:bookmarkStart w:id="5" w:name="heading-5"/>
      <w:r>
        <w:t xml:space="preserve"> Heading 5 </w:t>
      </w:r>
      <w:bookmarkEnd w:id="5"/>
    </w:p>
    <w:p w14:paraId="5248AEB9" w14:textId="77777777" w:rsidR="00492E9C" w:rsidRDefault="0049109C">
      <w:pPr>
        <w:pStyle w:val="6"/>
      </w:pPr>
      <w:bookmarkStart w:id="6" w:name="heading-6"/>
      <w:r>
        <w:t xml:space="preserve"> Heading 6 </w:t>
      </w:r>
      <w:bookmarkEnd w:id="6"/>
    </w:p>
    <w:p w14:paraId="4963DC27" w14:textId="77777777" w:rsidR="00492E9C" w:rsidRDefault="0049109C">
      <w:pPr>
        <w:pStyle w:val="7"/>
      </w:pPr>
      <w:bookmarkStart w:id="7" w:name="heading-7"/>
      <w:r>
        <w:t xml:space="preserve"> Heading 7 </w:t>
      </w:r>
      <w:bookmarkEnd w:id="7"/>
    </w:p>
    <w:p w14:paraId="1701A20E" w14:textId="77777777" w:rsidR="00492E9C" w:rsidRDefault="0049109C">
      <w:pPr>
        <w:pStyle w:val="8"/>
      </w:pPr>
      <w:bookmarkStart w:id="8" w:name="heading-8"/>
      <w:r>
        <w:t xml:space="preserve"> Heading 8 </w:t>
      </w:r>
      <w:bookmarkEnd w:id="8"/>
    </w:p>
    <w:p w14:paraId="34B2BD6A" w14:textId="77777777" w:rsidR="00492E9C" w:rsidRDefault="0049109C">
      <w:pPr>
        <w:pStyle w:val="9"/>
      </w:pPr>
      <w:bookmarkStart w:id="9" w:name="heading-9"/>
      <w:r>
        <w:t xml:space="preserve"> Heading 9 </w:t>
      </w:r>
      <w:bookmarkEnd w:id="9"/>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8">
        <w:r>
          <w:rPr>
            <w:rStyle w:val="ad"/>
          </w:rPr>
          <w:t xml:space="preserve"> Hyperlink </w:t>
        </w:r>
      </w:hyperlink>
      <w:r>
        <w:t xml:space="preserve"> .     Footnote. </w:t>
      </w:r>
      <w:r>
        <w:rPr>
          <w:rStyle w:val="ac"/>
        </w:rPr>
        <w:footnoteReference w:id="1"/>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0" w:name="_Hlk28420459"/>
      <w:r>
        <w:t>mage Ca</w:t>
      </w:r>
      <w:bookmarkEnd w:id="10"/>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0D2F4" w14:textId="77777777" w:rsidR="003614B2" w:rsidRDefault="003614B2">
      <w:pPr>
        <w:spacing w:after="0"/>
      </w:pPr>
      <w:r>
        <w:separator/>
      </w:r>
    </w:p>
  </w:endnote>
  <w:endnote w:type="continuationSeparator" w:id="0">
    <w:p w14:paraId="1D0BACB1" w14:textId="77777777" w:rsidR="003614B2" w:rsidRDefault="00361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14:paraId="25FD973B" w14:textId="77777777"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43CD" w14:textId="77777777" w:rsidR="003614B2" w:rsidRDefault="003614B2">
      <w:r>
        <w:separator/>
      </w:r>
    </w:p>
  </w:footnote>
  <w:footnote w:type="continuationSeparator" w:id="0">
    <w:p w14:paraId="04805591" w14:textId="77777777" w:rsidR="003614B2" w:rsidRDefault="003614B2">
      <w:r>
        <w:continuationSeparator/>
      </w:r>
    </w:p>
  </w:footnote>
  <w:footnote w:id="1">
    <w:p w14:paraId="0EB7286A" w14:textId="77777777"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5992"/>
    <w:rsid w:val="0006447D"/>
    <w:rsid w:val="000814D5"/>
    <w:rsid w:val="0009531A"/>
    <w:rsid w:val="000C73EA"/>
    <w:rsid w:val="000D51EF"/>
    <w:rsid w:val="000F354C"/>
    <w:rsid w:val="000F7909"/>
    <w:rsid w:val="00122C6C"/>
    <w:rsid w:val="0016425F"/>
    <w:rsid w:val="001E09A4"/>
    <w:rsid w:val="002208CF"/>
    <w:rsid w:val="002C0794"/>
    <w:rsid w:val="002C79EF"/>
    <w:rsid w:val="00304257"/>
    <w:rsid w:val="003614B2"/>
    <w:rsid w:val="003847A5"/>
    <w:rsid w:val="003B03CD"/>
    <w:rsid w:val="003F30AF"/>
    <w:rsid w:val="00461342"/>
    <w:rsid w:val="00476F66"/>
    <w:rsid w:val="0049109C"/>
    <w:rsid w:val="00492E9C"/>
    <w:rsid w:val="004E29B3"/>
    <w:rsid w:val="004E6B83"/>
    <w:rsid w:val="00590D07"/>
    <w:rsid w:val="005A3C3E"/>
    <w:rsid w:val="005B06BD"/>
    <w:rsid w:val="005B7F3A"/>
    <w:rsid w:val="005D036B"/>
    <w:rsid w:val="005F3D9B"/>
    <w:rsid w:val="00616646"/>
    <w:rsid w:val="00664EB2"/>
    <w:rsid w:val="00683589"/>
    <w:rsid w:val="00784D58"/>
    <w:rsid w:val="007B0D84"/>
    <w:rsid w:val="008433B8"/>
    <w:rsid w:val="00865C05"/>
    <w:rsid w:val="00882751"/>
    <w:rsid w:val="0089205D"/>
    <w:rsid w:val="008A0613"/>
    <w:rsid w:val="008C2251"/>
    <w:rsid w:val="008D6863"/>
    <w:rsid w:val="008F7F7B"/>
    <w:rsid w:val="00934129"/>
    <w:rsid w:val="009F115E"/>
    <w:rsid w:val="009F207C"/>
    <w:rsid w:val="00A27498"/>
    <w:rsid w:val="00A44088"/>
    <w:rsid w:val="00AB36ED"/>
    <w:rsid w:val="00AC4C8E"/>
    <w:rsid w:val="00AD6E0D"/>
    <w:rsid w:val="00B86B75"/>
    <w:rsid w:val="00BC48D5"/>
    <w:rsid w:val="00BD7DBD"/>
    <w:rsid w:val="00BF664B"/>
    <w:rsid w:val="00C034B7"/>
    <w:rsid w:val="00C317C3"/>
    <w:rsid w:val="00C36279"/>
    <w:rsid w:val="00C92F19"/>
    <w:rsid w:val="00C93E05"/>
    <w:rsid w:val="00CA50D6"/>
    <w:rsid w:val="00CE0CBD"/>
    <w:rsid w:val="00CE1298"/>
    <w:rsid w:val="00D11541"/>
    <w:rsid w:val="00D12107"/>
    <w:rsid w:val="00D73255"/>
    <w:rsid w:val="00D75F34"/>
    <w:rsid w:val="00DE713E"/>
    <w:rsid w:val="00E315A3"/>
    <w:rsid w:val="00E3653C"/>
    <w:rsid w:val="00E511AB"/>
    <w:rsid w:val="00E63D1C"/>
    <w:rsid w:val="00E861B1"/>
    <w:rsid w:val="00EA2B47"/>
    <w:rsid w:val="00EA2EA5"/>
    <w:rsid w:val="00EB1D21"/>
    <w:rsid w:val="00EF18CE"/>
    <w:rsid w:val="00F40C10"/>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 </cp:lastModifiedBy>
  <cp:revision>36</cp:revision>
  <dcterms:created xsi:type="dcterms:W3CDTF">2017-12-27T05:22:00Z</dcterms:created>
  <dcterms:modified xsi:type="dcterms:W3CDTF">2019-12-29T15:41:00Z</dcterms:modified>
</cp:coreProperties>
</file>