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1" w:name="_Hlk28607996"/>
      <w:r>
        <w:rPr>
          <w:rFonts w:hint="eastAsia"/>
          <w:lang w:eastAsia="zh-CN"/>
        </w:rPr>
        <w:t>工具与技术</w:t>
      </w:r>
    </w:p>
    <w:bookmarkEnd w:id="1"/>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计算的目的是让分析</w:t>
      </w:r>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最后，可验证性也是需要考虑的问题，即客户机或服务器能够向系统中的其他人证明他们已忠实地运行了所需的指令，而不泄露他们运行过程中的潜在隐私数据。验证技术，包括远程认证和零知识证明，将在第</w:t>
      </w:r>
      <w:r>
        <w:rPr>
          <w:rFonts w:hint="eastAsia"/>
          <w:lang w:eastAsia="zh-CN"/>
        </w:rPr>
        <w:t>4.2.3</w:t>
      </w:r>
      <w:r>
        <w:rPr>
          <w:rFonts w:hint="eastAsia"/>
          <w:lang w:eastAsia="zh-CN"/>
        </w:rPr>
        <w:t>节中讨论。</w:t>
      </w:r>
    </w:p>
    <w:p w14:paraId="376E96DD" w14:textId="2EA02216" w:rsidR="006A7307" w:rsidRDefault="006A7307" w:rsidP="006A7307">
      <w:pPr>
        <w:pStyle w:val="3"/>
        <w:ind w:firstLine="482"/>
      </w:pPr>
      <w:r>
        <w:rPr>
          <w:rFonts w:hint="eastAsia"/>
          <w:lang w:eastAsia="zh-CN"/>
        </w:rPr>
        <w:t>安全计算</w:t>
      </w:r>
      <w:r>
        <w:t xml:space="preserve">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）是密码学的一个子领域，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一组参与方计算其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r w:rsidRPr="007A235C">
        <w:rPr>
          <w:rFonts w:hint="eastAsia"/>
          <w:color w:val="FF0000"/>
          <w:lang w:eastAsia="zh-CN"/>
        </w:rPr>
        <w:t>姚</w:t>
      </w:r>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2"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2"/>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认为是</w:t>
            </w:r>
            <w:r w:rsidRPr="003F07DD">
              <w:rPr>
                <w:rFonts w:hint="eastAsia"/>
                <w:lang w:eastAsia="zh-CN"/>
              </w:rPr>
              <w:t>白盒模型。</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下（上）溢量在可控范围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r w:rsidR="006350E0">
        <w:rPr>
          <w:rFonts w:hint="eastAsia"/>
          <w:lang w:eastAsia="zh-CN"/>
        </w:rPr>
        <w:t>逻辑斯蒂</w:t>
      </w:r>
      <w:r>
        <w:rPr>
          <w:rFonts w:hint="eastAsia"/>
          <w:lang w:eastAsia="zh-CN"/>
        </w:rPr>
        <w:t>回归</w:t>
      </w:r>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通常在</w:t>
      </w:r>
      <w:r w:rsidR="006350E0" w:rsidRPr="00817C22">
        <w:rPr>
          <w:rFonts w:hint="eastAsia"/>
          <w:color w:val="FF0000"/>
          <w:lang w:eastAsia="zh-CN"/>
        </w:rPr>
        <w:t>孤井互通</w:t>
      </w:r>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proofErr w:type="spellEnd"/>
      <w:r>
        <w:rPr>
          <w:rFonts w:hint="eastAsia"/>
          <w:lang w:eastAsia="zh-CN"/>
        </w:rPr>
        <w:t>，允许同态加法或乘法。</w:t>
      </w:r>
      <w:r w:rsidR="008F568A">
        <w:rPr>
          <w:rFonts w:hint="eastAsia"/>
          <w:lang w:eastAsia="zh-CN"/>
        </w:rPr>
        <w:t>加性同态加密称为孤井互通</w:t>
      </w:r>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5828A4">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5828A4">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5828A4">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rFonts w:hint="eastAsia"/>
                <w:lang w:eastAsia="zh-CN"/>
              </w:rPr>
            </w:pPr>
          </w:p>
        </w:tc>
      </w:tr>
      <w:tr w:rsidR="00A1300F" w14:paraId="60267659" w14:textId="77777777" w:rsidTr="00E208AB">
        <w:tc>
          <w:tcPr>
            <w:tcW w:w="2235" w:type="dxa"/>
          </w:tcPr>
          <w:p w14:paraId="78989791" w14:textId="29D04BEB" w:rsidR="00A1300F" w:rsidRDefault="00105ADB" w:rsidP="005828A4">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5828A4">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5828A4">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rFonts w:hint="eastAsia"/>
                <w:lang w:eastAsia="zh-CN"/>
              </w:rPr>
            </w:pPr>
          </w:p>
        </w:tc>
      </w:tr>
      <w:tr w:rsidR="00A1300F" w14:paraId="5D5B242F" w14:textId="77777777" w:rsidTr="00E208AB">
        <w:tc>
          <w:tcPr>
            <w:tcW w:w="2235" w:type="dxa"/>
          </w:tcPr>
          <w:p w14:paraId="3E9727DF" w14:textId="385443EA" w:rsidR="00A1300F" w:rsidRDefault="00F91771" w:rsidP="005828A4">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r w:rsidRPr="00C16917">
              <w:rPr>
                <w:rFonts w:hint="eastAsia"/>
                <w:lang w:eastAsia="zh-CN"/>
              </w:rPr>
              <w:t>不解密密文下对密文执行数学运算，从而计算出它们的数据的函数。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rFonts w:hint="eastAsia"/>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lastRenderedPageBreak/>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rFonts w:hint="eastAsia"/>
          <w:lang w:eastAsia="zh-CN"/>
        </w:rPr>
      </w:pPr>
      <w:r>
        <w:rPr>
          <w:rFonts w:hint="eastAsia"/>
          <w:lang w:eastAsia="zh-CN"/>
        </w:rPr>
        <w:lastRenderedPageBreak/>
        <w:t>考虑在</w:t>
      </w:r>
      <w:r>
        <w:rPr>
          <w:rFonts w:hint="eastAsia"/>
          <w:lang w:eastAsia="zh-CN"/>
        </w:rPr>
        <w:t>联邦学习</w:t>
      </w:r>
      <w:r>
        <w:rPr>
          <w:rFonts w:hint="eastAsia"/>
          <w:lang w:eastAsia="zh-CN"/>
        </w:rPr>
        <w:t>设置中使用</w:t>
      </w:r>
      <w:r>
        <w:rPr>
          <w:rFonts w:hint="eastAsia"/>
          <w:lang w:eastAsia="zh-CN"/>
        </w:rPr>
        <w:t>同态加密</w:t>
      </w:r>
      <w:r>
        <w:rPr>
          <w:rFonts w:hint="eastAsia"/>
          <w:lang w:eastAsia="zh-CN"/>
        </w:rPr>
        <w:t>，</w:t>
      </w:r>
      <w:r>
        <w:rPr>
          <w:rFonts w:hint="eastAsia"/>
          <w:lang w:eastAsia="zh-CN"/>
        </w:rPr>
        <w:t>会遇到</w:t>
      </w:r>
      <w:r>
        <w:rPr>
          <w:rFonts w:hint="eastAsia"/>
          <w:lang w:eastAsia="zh-CN"/>
        </w:rPr>
        <w:t>谁</w:t>
      </w:r>
      <w:r>
        <w:rPr>
          <w:rFonts w:hint="eastAsia"/>
          <w:lang w:eastAsia="zh-CN"/>
        </w:rPr>
        <w:t>该</w:t>
      </w:r>
      <w:r>
        <w:rPr>
          <w:rFonts w:hint="eastAsia"/>
          <w:lang w:eastAsia="zh-CN"/>
        </w:rPr>
        <w:t>持有该</w:t>
      </w:r>
      <w:r>
        <w:rPr>
          <w:rFonts w:hint="eastAsia"/>
          <w:lang w:eastAsia="zh-CN"/>
        </w:rPr>
        <w:t>模式</w:t>
      </w:r>
      <w:r>
        <w:rPr>
          <w:rFonts w:hint="eastAsia"/>
          <w:lang w:eastAsia="zh-CN"/>
        </w:rPr>
        <w:t>的密钥</w:t>
      </w:r>
      <w:r>
        <w:rPr>
          <w:rFonts w:hint="eastAsia"/>
          <w:lang w:eastAsia="zh-CN"/>
        </w:rPr>
        <w:t>这一</w:t>
      </w:r>
      <w:r>
        <w:rPr>
          <w:rFonts w:hint="eastAsia"/>
          <w:lang w:eastAsia="zh-CN"/>
        </w:rPr>
        <w:t>问题。虽然每个客户机加密其数据并将其发送到服务</w:t>
      </w:r>
      <w:r>
        <w:rPr>
          <w:rFonts w:hint="eastAsia"/>
          <w:lang w:eastAsia="zh-CN"/>
        </w:rPr>
        <w:t>器端进行</w:t>
      </w:r>
      <w:r>
        <w:rPr>
          <w:rFonts w:hint="eastAsia"/>
          <w:lang w:eastAsia="zh-CN"/>
        </w:rPr>
        <w:t>同态计算的想法很有吸引力，但服务器不应该能够解密单个客户机的</w:t>
      </w:r>
      <w:r>
        <w:rPr>
          <w:rFonts w:hint="eastAsia"/>
          <w:lang w:eastAsia="zh-CN"/>
        </w:rPr>
        <w:t>提交数据</w:t>
      </w:r>
      <w:r>
        <w:rPr>
          <w:rFonts w:hint="eastAsia"/>
          <w:lang w:eastAsia="zh-CN"/>
        </w:rPr>
        <w:t>。克服这一问题的一个简单方法是依赖一个持有密钥并解密计算结果的外部</w:t>
      </w:r>
      <w:r>
        <w:rPr>
          <w:rFonts w:hint="eastAsia"/>
          <w:lang w:eastAsia="zh-CN"/>
        </w:rPr>
        <w:t>非合谋</w:t>
      </w:r>
      <w:r>
        <w:rPr>
          <w:rFonts w:hint="eastAsia"/>
          <w:lang w:eastAsia="zh-CN"/>
        </w:rPr>
        <w:t>方。然而，大多数</w:t>
      </w:r>
      <w:r>
        <w:rPr>
          <w:rFonts w:hint="eastAsia"/>
          <w:lang w:eastAsia="zh-CN"/>
        </w:rPr>
        <w:t>同态加密</w:t>
      </w:r>
      <w:r>
        <w:rPr>
          <w:rFonts w:hint="eastAsia"/>
          <w:lang w:eastAsia="zh-CN"/>
        </w:rPr>
        <w:t>方案要求密钥经常更新（例如，由于易受选择密文攻击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proofErr w:type="spellStart"/>
      <w:r w:rsidRPr="00A525AD">
        <w:rPr>
          <w:rFonts w:hint="eastAsia"/>
          <w:color w:val="FF0000"/>
          <w:lang w:eastAsia="zh-CN"/>
        </w:rPr>
        <w:t>Reyzin</w:t>
      </w:r>
      <w:proofErr w:type="spellEnd"/>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proofErr w:type="spellStart"/>
      <w:r w:rsidRPr="00836FFA">
        <w:rPr>
          <w:rFonts w:hint="eastAsia"/>
          <w:color w:val="FF0000"/>
          <w:lang w:eastAsia="zh-CN"/>
        </w:rPr>
        <w:t>ElGamal</w:t>
      </w:r>
      <w:proofErr w:type="spellEnd"/>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w:t>
      </w:r>
      <w:r>
        <w:rPr>
          <w:rFonts w:hint="eastAsia"/>
          <w:lang w:eastAsia="zh-CN"/>
        </w:rPr>
        <w:t>而</w:t>
      </w:r>
      <w:r>
        <w:rPr>
          <w:rFonts w:hint="eastAsia"/>
          <w:lang w:eastAsia="zh-CN"/>
        </w:rPr>
        <w:t>该环境的代码可以被证明和验证。</w:t>
      </w:r>
      <w:r>
        <w:rPr>
          <w:rFonts w:hint="eastAsia"/>
          <w:lang w:eastAsia="zh-CN"/>
        </w:rPr>
        <w:t>可信执行环境拥有</w:t>
      </w:r>
      <w:r>
        <w:rPr>
          <w:rFonts w:hint="eastAsia"/>
          <w:lang w:eastAsia="zh-CN"/>
        </w:rPr>
        <w:t>几个关键</w:t>
      </w:r>
      <w:r>
        <w:rPr>
          <w:rFonts w:hint="eastAsia"/>
          <w:lang w:eastAsia="zh-CN"/>
        </w:rPr>
        <w:t>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rFonts w:hint="eastAsia"/>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rFonts w:hint="eastAsia"/>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proofErr w:type="spellStart"/>
      <w:r w:rsidR="00977CDF" w:rsidRPr="00A53598">
        <w:rPr>
          <w:rFonts w:hint="eastAsia"/>
          <w:color w:val="FF0000"/>
          <w:lang w:eastAsia="zh-CN"/>
        </w:rPr>
        <w:t>TrustZone</w:t>
      </w:r>
      <w:proofErr w:type="spellEnd"/>
      <w:r w:rsidR="00977CDF" w:rsidRPr="00A53598">
        <w:rPr>
          <w:rFonts w:hint="eastAsia"/>
          <w:color w:val="FF0000"/>
          <w:lang w:eastAsia="zh-CN"/>
        </w:rPr>
        <w:t>[2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proofErr w:type="spellStart"/>
      <w:r w:rsidR="00977CDF" w:rsidRPr="00A53598">
        <w:rPr>
          <w:rFonts w:hint="eastAsia"/>
          <w:color w:val="FF0000"/>
          <w:lang w:eastAsia="zh-CN"/>
        </w:rPr>
        <w:t>Sanctumon</w:t>
      </w:r>
      <w:proofErr w:type="spellEnd"/>
      <w:r w:rsidR="00977CDF" w:rsidRPr="00A53598">
        <w:rPr>
          <w:rFonts w:hint="eastAsia"/>
          <w:color w:val="FF0000"/>
          <w:lang w:eastAsia="zh-CN"/>
        </w:rPr>
        <w:t xml:space="preserve">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rFonts w:hint="eastAsia"/>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proofErr w:type="spellStart"/>
      <w:r w:rsidRPr="00A53598">
        <w:rPr>
          <w:rFonts w:hint="eastAsia"/>
          <w:color w:val="FF0000"/>
          <w:lang w:eastAsia="zh-CN"/>
        </w:rPr>
        <w:t>Tram`er</w:t>
      </w:r>
      <w:proofErr w:type="spellEnd"/>
      <w:r w:rsidRPr="00A53598">
        <w:rPr>
          <w:rFonts w:hint="eastAsia"/>
          <w:color w:val="FF0000"/>
          <w:lang w:eastAsia="zh-CN"/>
        </w:rPr>
        <w:t>和</w:t>
      </w:r>
      <w:proofErr w:type="spellStart"/>
      <w:r w:rsidRPr="00A53598">
        <w:rPr>
          <w:rFonts w:hint="eastAsia"/>
          <w:color w:val="FF0000"/>
          <w:lang w:eastAsia="zh-CN"/>
        </w:rPr>
        <w:t>Boneh</w:t>
      </w:r>
      <w:proofErr w:type="spellEnd"/>
      <w:r w:rsidRPr="00A53598">
        <w:rPr>
          <w:rFonts w:hint="eastAsia"/>
          <w:color w:val="FF0000"/>
          <w:lang w:eastAsia="zh-CN"/>
        </w:rPr>
        <w:t>[382]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rFonts w:hint="eastAsia"/>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通常只证明某个特定的二进制文件正在运行；系统架构师需要提供一种方法来证明该二进制文件具有所需的隐私属性，这可能需要使用来自开源代码的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lastRenderedPageBreak/>
        <w:t>如何在</w:t>
      </w:r>
      <w:r w:rsidR="00403CD9">
        <w:rPr>
          <w:rFonts w:hint="eastAsia"/>
          <w:lang w:eastAsia="zh-CN"/>
        </w:rPr>
        <w:t>安全环境</w:t>
      </w:r>
      <w:r>
        <w:rPr>
          <w:rFonts w:hint="eastAsia"/>
          <w:lang w:eastAsia="zh-CN"/>
        </w:rPr>
        <w:t>、云计算资源和客户端设备之间划分联邦学习功能仍然是一个悬而未决的问题。例如，安全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上传内容</w:t>
      </w:r>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rFonts w:hint="eastAsia"/>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r>
        <w:rPr>
          <w:rFonts w:hint="eastAsia"/>
          <w:lang w:eastAsia="zh-CN"/>
        </w:rPr>
        <w:t>个客户端和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r>
        <w:rPr>
          <w:rFonts w:hint="eastAsia"/>
          <w:lang w:eastAsia="zh-CN"/>
        </w:rPr>
        <w:t>和。</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r>
        <w:rPr>
          <w:rFonts w:hint="eastAsia"/>
          <w:lang w:eastAsia="zh-CN"/>
        </w:rPr>
        <w:t>个客户端和服务器的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20D1E120" w14:textId="77777777" w:rsidR="00213907" w:rsidRDefault="00213907" w:rsidP="000974B5">
      <w:pPr>
        <w:pStyle w:val="a0"/>
        <w:ind w:firstLine="420"/>
        <w:rPr>
          <w:lang w:eastAsia="zh-CN"/>
        </w:rPr>
      </w:pPr>
      <w:bookmarkStart w:id="3" w:name="_GoBack"/>
      <w:bookmarkEnd w:id="3"/>
    </w:p>
    <w:p w14:paraId="07A1DEC1" w14:textId="77777777" w:rsidR="000974B5" w:rsidRDefault="000974B5" w:rsidP="000974B5">
      <w:pPr>
        <w:pStyle w:val="a0"/>
        <w:ind w:firstLine="420"/>
        <w:rPr>
          <w:lang w:eastAsia="zh-CN"/>
        </w:rPr>
      </w:pPr>
      <w:r>
        <w:rPr>
          <w:lang w:eastAsia="zh-CN"/>
        </w:rPr>
        <w:t>Private information retrieval Private information retrieval (PIR) is a functionality for one client and one server. It enables the client to download an entry from a server-hosted database such that the server gains zero information about which entry the client requested. MPC approaches to PIR break down into two main categories: computational PIR (</w:t>
      </w:r>
      <w:proofErr w:type="spellStart"/>
      <w:r>
        <w:rPr>
          <w:lang w:eastAsia="zh-CN"/>
        </w:rPr>
        <w:t>cPIR</w:t>
      </w:r>
      <w:proofErr w:type="spellEnd"/>
      <w:r>
        <w:rPr>
          <w:lang w:eastAsia="zh-CN"/>
        </w:rPr>
        <w:t>), in which a single party can execute the entire server side of the protocol [249], and information theoretic PIR (</w:t>
      </w:r>
      <w:proofErr w:type="spellStart"/>
      <w:r>
        <w:rPr>
          <w:lang w:eastAsia="zh-CN"/>
        </w:rPr>
        <w:t>itPIR</w:t>
      </w:r>
      <w:proofErr w:type="spellEnd"/>
      <w:r>
        <w:rPr>
          <w:lang w:eastAsia="zh-CN"/>
        </w:rPr>
        <w:t xml:space="preserve">), in which multiple non-colluding parties are required to execute the server side of the protocol [106]. The main roadblocks to the applicability of PIR have been the following: </w:t>
      </w:r>
      <w:proofErr w:type="spellStart"/>
      <w:r>
        <w:rPr>
          <w:lang w:eastAsia="zh-CN"/>
        </w:rPr>
        <w:t>cPIR</w:t>
      </w:r>
      <w:proofErr w:type="spellEnd"/>
      <w:r>
        <w:rPr>
          <w:lang w:eastAsia="zh-CN"/>
        </w:rPr>
        <w:t xml:space="preserve"> has very high computational cost [361], while the non-colluding parties setting has been difﬁcult to achieve convincingly in industrial scenarios. Recent results on PIR have shown dramatic reductions in the computational cost through the use of lattice-based cryptosystems [16, 313, 17, 25, 175]. It has been shown how to construct communication-efﬁcient PIR on a single-server by leveraging side information available at the user [218]. Recent works propose to leverage client local state to speed up PIR. Patel et al. [319] shows </w:t>
      </w:r>
      <w:r>
        <w:rPr>
          <w:lang w:eastAsia="zh-CN"/>
        </w:rPr>
        <w:lastRenderedPageBreak/>
        <w:t>how the latter side information can be obtained and a practical hybrid (computational and information theoretic) PIR scheme on a single server was implemented and validated. Corrigan-Gibbs and Kogan [114] present protocols for PIR with sublinear online time by working in an ofﬂine/online model where, during an ofﬂine phase, clients fetch information from the server(s) independent on the future query to be performed.</w:t>
      </w:r>
    </w:p>
    <w:p w14:paraId="67EB4F7A" w14:textId="77777777" w:rsidR="000974B5" w:rsidRDefault="000974B5" w:rsidP="000974B5">
      <w:pPr>
        <w:pStyle w:val="a0"/>
        <w:ind w:firstLine="420"/>
        <w:rPr>
          <w:lang w:eastAsia="zh-CN"/>
        </w:rPr>
      </w:pPr>
      <w:r>
        <w:rPr>
          <w:lang w:eastAsia="zh-CN"/>
        </w:rPr>
        <w:t>42</w:t>
      </w:r>
    </w:p>
    <w:p w14:paraId="5C40D64C" w14:textId="4954F275" w:rsidR="007F3B7E" w:rsidRDefault="000974B5" w:rsidP="000974B5">
      <w:pPr>
        <w:pStyle w:val="a0"/>
        <w:ind w:firstLine="420"/>
        <w:rPr>
          <w:lang w:eastAsia="zh-CN"/>
        </w:rPr>
      </w:pPr>
      <w:r>
        <w:rPr>
          <w:lang w:eastAsia="zh-CN"/>
        </w:rPr>
        <w:t>Further work has explored the connection between PIR and secret sharing in the past [410] with recent connectionstoPIRoncodeddata[139]andcommunicationefﬁcientPIR[66]havingbeenestablished. PIR has also been studied in the context of ON-OFF privacy, in which a client is permitted to switch off their privacy guards in exchange for better utility or performance [306, 423].</w:t>
      </w:r>
    </w:p>
    <w:p w14:paraId="46123813" w14:textId="064B7FC9" w:rsidR="007F3B7E" w:rsidRDefault="007F3B7E" w:rsidP="006139E3">
      <w:pPr>
        <w:pStyle w:val="a0"/>
        <w:ind w:firstLine="420"/>
        <w:rPr>
          <w:lang w:eastAsia="zh-CN"/>
        </w:rPr>
      </w:pPr>
    </w:p>
    <w:p w14:paraId="1971E551" w14:textId="77777777" w:rsidR="007F3B7E" w:rsidRDefault="007F3B7E" w:rsidP="006139E3">
      <w:pPr>
        <w:pStyle w:val="a0"/>
        <w:ind w:firstLine="420"/>
        <w:rPr>
          <w:rFonts w:hint="eastAsia"/>
          <w:lang w:eastAsia="zh-CN"/>
        </w:rPr>
      </w:pPr>
    </w:p>
    <w:p w14:paraId="0FAF4B7F" w14:textId="429B342D" w:rsidR="00310E52" w:rsidRDefault="0049109C" w:rsidP="00310E52">
      <w:pPr>
        <w:pStyle w:val="3"/>
        <w:ind w:firstLine="482"/>
      </w:pPr>
      <w:bookmarkStart w:id="4" w:name="heading-3"/>
      <w:bookmarkStart w:id="5" w:name="_Hlk28619993"/>
      <w:r>
        <w:t>H</w:t>
      </w:r>
      <w:bookmarkStart w:id="6" w:name="_Hlk28619894"/>
      <w:r>
        <w:t xml:space="preserve">eading 3 </w:t>
      </w:r>
      <w:bookmarkEnd w:id="4"/>
      <w:bookmarkEnd w:id="6"/>
    </w:p>
    <w:p w14:paraId="6D68A9FE" w14:textId="47B8C698" w:rsidR="00492E9C" w:rsidRDefault="0049109C">
      <w:pPr>
        <w:pStyle w:val="4"/>
        <w:spacing w:after="120"/>
        <w:ind w:firstLine="482"/>
      </w:pPr>
      <w:bookmarkStart w:id="7" w:name="heading-4"/>
      <w:bookmarkEnd w:id="5"/>
      <w:r>
        <w:t xml:space="preserve">Heading 4 </w:t>
      </w:r>
      <w:bookmarkEnd w:id="7"/>
    </w:p>
    <w:p w14:paraId="634E6A16" w14:textId="77777777" w:rsidR="00492E9C" w:rsidRDefault="0049109C">
      <w:pPr>
        <w:pStyle w:val="5"/>
      </w:pPr>
      <w:bookmarkStart w:id="8" w:name="heading-5"/>
      <w:r>
        <w:t xml:space="preserve"> Heading 5 </w:t>
      </w:r>
      <w:bookmarkEnd w:id="8"/>
    </w:p>
    <w:p w14:paraId="5248AEB9" w14:textId="77777777" w:rsidR="00492E9C" w:rsidRDefault="0049109C">
      <w:pPr>
        <w:pStyle w:val="6"/>
      </w:pPr>
      <w:bookmarkStart w:id="9" w:name="heading-6"/>
      <w:r>
        <w:t xml:space="preserve"> Heading 6 </w:t>
      </w:r>
      <w:bookmarkEnd w:id="9"/>
    </w:p>
    <w:p w14:paraId="4963DC27" w14:textId="77777777" w:rsidR="00492E9C" w:rsidRDefault="0049109C">
      <w:pPr>
        <w:pStyle w:val="7"/>
      </w:pPr>
      <w:bookmarkStart w:id="10" w:name="heading-7"/>
      <w:r>
        <w:t xml:space="preserve"> Heading 7 </w:t>
      </w:r>
      <w:bookmarkEnd w:id="10"/>
    </w:p>
    <w:p w14:paraId="1701A20E" w14:textId="77777777" w:rsidR="00492E9C" w:rsidRDefault="0049109C">
      <w:pPr>
        <w:pStyle w:val="8"/>
      </w:pPr>
      <w:bookmarkStart w:id="11" w:name="heading-8"/>
      <w:r>
        <w:t xml:space="preserve"> Heading 8 </w:t>
      </w:r>
      <w:bookmarkEnd w:id="11"/>
    </w:p>
    <w:p w14:paraId="34B2BD6A" w14:textId="77777777" w:rsidR="00492E9C" w:rsidRDefault="0049109C">
      <w:pPr>
        <w:pStyle w:val="9"/>
      </w:pPr>
      <w:bookmarkStart w:id="12" w:name="heading-9"/>
      <w:r>
        <w:t xml:space="preserve"> Heading 9 </w:t>
      </w:r>
      <w:bookmarkEnd w:id="12"/>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9">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3" w:name="_Hlk28420459"/>
      <w:r>
        <w:t>mage Ca</w:t>
      </w:r>
      <w:bookmarkEnd w:id="13"/>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lastRenderedPageBreak/>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53DDE" w14:textId="77777777" w:rsidR="00871A11" w:rsidRDefault="00871A11">
      <w:pPr>
        <w:spacing w:after="0"/>
      </w:pPr>
      <w:r>
        <w:separator/>
      </w:r>
    </w:p>
  </w:endnote>
  <w:endnote w:type="continuationSeparator" w:id="0">
    <w:p w14:paraId="099175FE" w14:textId="77777777" w:rsidR="00871A11" w:rsidRDefault="00871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054D19" w:rsidRDefault="00054D19">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054D19" w:rsidRDefault="00054D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8C094" w14:textId="77777777" w:rsidR="00871A11" w:rsidRDefault="00871A11">
      <w:r>
        <w:separator/>
      </w:r>
    </w:p>
  </w:footnote>
  <w:footnote w:type="continuationSeparator" w:id="0">
    <w:p w14:paraId="4D062738" w14:textId="77777777" w:rsidR="00871A11" w:rsidRDefault="00871A11">
      <w:r>
        <w:continuationSeparator/>
      </w:r>
    </w:p>
  </w:footnote>
  <w:footnote w:id="1">
    <w:p w14:paraId="26233EDE" w14:textId="12F870B6" w:rsidR="00054D19" w:rsidRDefault="00054D19">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054D19" w:rsidRDefault="00054D19">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4572"/>
    <w:rsid w:val="00054D19"/>
    <w:rsid w:val="00055992"/>
    <w:rsid w:val="000605FB"/>
    <w:rsid w:val="0006447D"/>
    <w:rsid w:val="000814D5"/>
    <w:rsid w:val="0009531A"/>
    <w:rsid w:val="000974B5"/>
    <w:rsid w:val="000C73EA"/>
    <w:rsid w:val="000D3BD1"/>
    <w:rsid w:val="000D51EF"/>
    <w:rsid w:val="000F354C"/>
    <w:rsid w:val="000F7909"/>
    <w:rsid w:val="00105ADB"/>
    <w:rsid w:val="00122C6C"/>
    <w:rsid w:val="00151195"/>
    <w:rsid w:val="0016425F"/>
    <w:rsid w:val="001C33FE"/>
    <w:rsid w:val="001D08F8"/>
    <w:rsid w:val="001E04AF"/>
    <w:rsid w:val="001E09A4"/>
    <w:rsid w:val="001E6800"/>
    <w:rsid w:val="00213907"/>
    <w:rsid w:val="002208CF"/>
    <w:rsid w:val="00226796"/>
    <w:rsid w:val="00282C96"/>
    <w:rsid w:val="002A7AFC"/>
    <w:rsid w:val="002C0794"/>
    <w:rsid w:val="002C79EF"/>
    <w:rsid w:val="00304257"/>
    <w:rsid w:val="003067B8"/>
    <w:rsid w:val="00310E52"/>
    <w:rsid w:val="003614B2"/>
    <w:rsid w:val="00362F31"/>
    <w:rsid w:val="0037411F"/>
    <w:rsid w:val="003847A5"/>
    <w:rsid w:val="003B03CD"/>
    <w:rsid w:val="003B5F63"/>
    <w:rsid w:val="003C79A9"/>
    <w:rsid w:val="003E5CAD"/>
    <w:rsid w:val="003F07DD"/>
    <w:rsid w:val="003F093D"/>
    <w:rsid w:val="003F30AF"/>
    <w:rsid w:val="00403CD9"/>
    <w:rsid w:val="00422409"/>
    <w:rsid w:val="00461342"/>
    <w:rsid w:val="00470353"/>
    <w:rsid w:val="00476F66"/>
    <w:rsid w:val="0049109C"/>
    <w:rsid w:val="00492E9C"/>
    <w:rsid w:val="004B72D5"/>
    <w:rsid w:val="004D032E"/>
    <w:rsid w:val="004E29B3"/>
    <w:rsid w:val="004E6B83"/>
    <w:rsid w:val="00590D07"/>
    <w:rsid w:val="00592F90"/>
    <w:rsid w:val="005A3C3E"/>
    <w:rsid w:val="005B06BD"/>
    <w:rsid w:val="005B7F3A"/>
    <w:rsid w:val="005D036B"/>
    <w:rsid w:val="005D4678"/>
    <w:rsid w:val="005F3D9B"/>
    <w:rsid w:val="006139E3"/>
    <w:rsid w:val="00616646"/>
    <w:rsid w:val="006350E0"/>
    <w:rsid w:val="00657B3F"/>
    <w:rsid w:val="0066187A"/>
    <w:rsid w:val="00664EB2"/>
    <w:rsid w:val="00666B86"/>
    <w:rsid w:val="00683589"/>
    <w:rsid w:val="006A7307"/>
    <w:rsid w:val="00784D58"/>
    <w:rsid w:val="00790217"/>
    <w:rsid w:val="007A235C"/>
    <w:rsid w:val="007B0D84"/>
    <w:rsid w:val="007F3B7E"/>
    <w:rsid w:val="0081328B"/>
    <w:rsid w:val="00817C22"/>
    <w:rsid w:val="00836FFA"/>
    <w:rsid w:val="0084052A"/>
    <w:rsid w:val="008433B8"/>
    <w:rsid w:val="00847A50"/>
    <w:rsid w:val="00865C05"/>
    <w:rsid w:val="00871A11"/>
    <w:rsid w:val="00882751"/>
    <w:rsid w:val="00890739"/>
    <w:rsid w:val="0089205D"/>
    <w:rsid w:val="008A0613"/>
    <w:rsid w:val="008B7004"/>
    <w:rsid w:val="008C2251"/>
    <w:rsid w:val="008D6863"/>
    <w:rsid w:val="008E3654"/>
    <w:rsid w:val="008F568A"/>
    <w:rsid w:val="008F7F7B"/>
    <w:rsid w:val="00934129"/>
    <w:rsid w:val="00936768"/>
    <w:rsid w:val="00946BB1"/>
    <w:rsid w:val="00977CDF"/>
    <w:rsid w:val="00984A86"/>
    <w:rsid w:val="009A2589"/>
    <w:rsid w:val="009C6210"/>
    <w:rsid w:val="009F115E"/>
    <w:rsid w:val="009F207C"/>
    <w:rsid w:val="009F765B"/>
    <w:rsid w:val="00A1300F"/>
    <w:rsid w:val="00A27498"/>
    <w:rsid w:val="00A44088"/>
    <w:rsid w:val="00A525AD"/>
    <w:rsid w:val="00A53598"/>
    <w:rsid w:val="00A82D3D"/>
    <w:rsid w:val="00AB36ED"/>
    <w:rsid w:val="00AC4C8E"/>
    <w:rsid w:val="00AD6E0D"/>
    <w:rsid w:val="00B561C3"/>
    <w:rsid w:val="00B719D0"/>
    <w:rsid w:val="00B86B75"/>
    <w:rsid w:val="00BB312F"/>
    <w:rsid w:val="00BC48D5"/>
    <w:rsid w:val="00BD7DBD"/>
    <w:rsid w:val="00BE681C"/>
    <w:rsid w:val="00BF602C"/>
    <w:rsid w:val="00BF664B"/>
    <w:rsid w:val="00BF733F"/>
    <w:rsid w:val="00C034B7"/>
    <w:rsid w:val="00C16917"/>
    <w:rsid w:val="00C317C3"/>
    <w:rsid w:val="00C32095"/>
    <w:rsid w:val="00C36279"/>
    <w:rsid w:val="00C92F19"/>
    <w:rsid w:val="00C93E05"/>
    <w:rsid w:val="00CA1B88"/>
    <w:rsid w:val="00CA50D6"/>
    <w:rsid w:val="00CE0CBD"/>
    <w:rsid w:val="00CE1298"/>
    <w:rsid w:val="00CF7B68"/>
    <w:rsid w:val="00D06FED"/>
    <w:rsid w:val="00D11541"/>
    <w:rsid w:val="00D12107"/>
    <w:rsid w:val="00D6245B"/>
    <w:rsid w:val="00D73255"/>
    <w:rsid w:val="00D75F34"/>
    <w:rsid w:val="00DA5149"/>
    <w:rsid w:val="00DB7C45"/>
    <w:rsid w:val="00DE713E"/>
    <w:rsid w:val="00DE73B1"/>
    <w:rsid w:val="00E208AB"/>
    <w:rsid w:val="00E20E29"/>
    <w:rsid w:val="00E2240E"/>
    <w:rsid w:val="00E315A3"/>
    <w:rsid w:val="00E3653C"/>
    <w:rsid w:val="00E511AB"/>
    <w:rsid w:val="00E63D1C"/>
    <w:rsid w:val="00E713CA"/>
    <w:rsid w:val="00E861B1"/>
    <w:rsid w:val="00E91237"/>
    <w:rsid w:val="00EA2B47"/>
    <w:rsid w:val="00EA2EA5"/>
    <w:rsid w:val="00EA5DBB"/>
    <w:rsid w:val="00EB1D21"/>
    <w:rsid w:val="00ED5956"/>
    <w:rsid w:val="00EE6332"/>
    <w:rsid w:val="00EF18CE"/>
    <w:rsid w:val="00EF640B"/>
    <w:rsid w:val="00F40C10"/>
    <w:rsid w:val="00F436D0"/>
    <w:rsid w:val="00F8646A"/>
    <w:rsid w:val="00F91771"/>
    <w:rsid w:val="00F93BC6"/>
    <w:rsid w:val="00FB306D"/>
    <w:rsid w:val="00FB5ADB"/>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C227C-0DE0-40BE-9E26-33A5C4AE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10</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49</cp:revision>
  <dcterms:created xsi:type="dcterms:W3CDTF">2017-12-27T05:22:00Z</dcterms:created>
  <dcterms:modified xsi:type="dcterms:W3CDTF">2020-01-01T09:02:00Z</dcterms:modified>
</cp:coreProperties>
</file>