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w:t>
      </w:r>
    </w:p>
    <w:p>
      <w:pPr>
        <w:pStyle w:val="Subtitle"/>
      </w:pPr>
      <w:r>
        <w:t>Igor’s Invoice Web App | MVP | Version 1.0 | 23 September 2026</w:t>
      </w:r>
    </w:p>
    <w:p>
      <w:r>
        <w:t>Build a small self-service web app that lets independent service providers create, download and reuse professional invoices. This document defines the MVP to implement with Codex; the accompanying Database Schema defines its persistent data and integrity rules.</w:t>
      </w:r>
    </w:p>
    <w:p>
      <w:pPr>
        <w:pStyle w:val="Heading1"/>
      </w:pPr>
      <w:r>
        <w:t>1 Product scope</w:t>
      </w:r>
    </w:p>
    <w:p>
      <w:r>
        <w:t>Each registered user owns one business profile, a customer list and a private invoice history. A user can create a standard invoice or an advance invoice requesting a specified upfront amount. An advance invoice uses the same item and total model as a standard invoice, with a clearly different document title.</w:t>
      </w:r>
    </w:p>
    <w:p>
      <w:pPr>
        <w:pStyle w:val="ListBullet"/>
      </w:pPr>
      <w:r>
        <w:t>Included: registration, login, logout and password reset; profile management; reusable customers; draft editing; issuing; A4 PDF download; invoice history; duplication; manual paid and cancelled statuses.</w:t>
      </w:r>
    </w:p>
    <w:p>
      <w:pPr>
        <w:pStyle w:val="ListBullet"/>
      </w:pPr>
      <w:r>
        <w:t>Excluded: team accounts, multiple businesses per account, recurring invoices, email delivery, payment gateways, partial payments, deposits reconciliation, credit notes, inventory, accounting integrations and analytics.</w:t>
      </w:r>
    </w:p>
    <w:p>
      <w:r>
        <w:t>Use English for the MVP interface and PDF labels. Default currency is EUR. Support a configured allowlist of currencies with two decimal minor units; no currency conversion. A simple responsive interface must work on desktop and mobile.</w:t>
      </w:r>
    </w:p>
    <w:p>
      <w:pPr>
        <w:pStyle w:val="Heading1"/>
      </w:pPr>
      <w:r>
        <w:t>2 Primary workflow</w:t>
      </w:r>
    </w:p>
    <w:p>
      <w:pPr>
        <w:pStyle w:val="ListBullet"/>
      </w:pPr>
      <w:r>
        <w:t>Register or log in, then complete the business profile.</w:t>
      </w:r>
    </w:p>
    <w:p>
      <w:pPr>
        <w:pStyle w:val="ListBullet"/>
      </w:pPr>
      <w:r>
        <w:t>Create a customer or enter customer details while preparing an invoice.</w:t>
      </w:r>
    </w:p>
    <w:p>
      <w:pPr>
        <w:pStyle w:val="ListBullet"/>
      </w:pPr>
      <w:r>
        <w:t>Choose Standard or Advance, add services and review dates, taxes and totals.</w:t>
      </w:r>
    </w:p>
    <w:p>
      <w:pPr>
        <w:pStyle w:val="ListBullet"/>
      </w:pPr>
      <w:r>
        <w:t>Save a draft, edit it as needed, then explicitly issue it to assign its permanent number.</w:t>
      </w:r>
    </w:p>
    <w:p>
      <w:pPr>
        <w:pStyle w:val="ListBullet"/>
      </w:pPr>
      <w:r>
        <w:t>Download the PDF and later mark the invoice paid or cancelled.</w:t>
      </w:r>
    </w:p>
    <w:p>
      <w:pPr>
        <w:pStyle w:val="ListBullet"/>
      </w:pPr>
      <w:r>
        <w:t>Duplicate any existing invoice into a new editable draft and change only the necessary fields.</w:t>
      </w:r>
    </w:p>
    <w:p>
      <w:pPr>
        <w:pStyle w:val="Heading1"/>
      </w:pPr>
      <w:r>
        <w:t>3 Main screens</w:t>
      </w:r>
    </w:p>
    <w:p>
      <w:r>
        <w:t>Authentication; business profile; customers list and editor; invoice dashboard; invoice editor; invoice detail and PDF preview. The dashboard shows number or Draft, type, customer, issue date, due date, currency, total and status, with search by number or customer, type/status filters and pagination. Overdue is an additional computed indicator.</w:t>
      </w:r>
    </w:p>
    <w:p>
      <w:r>
        <w:br w:type="page"/>
      </w:r>
    </w:p>
    <w:p>
      <w:pPr>
        <w:pStyle w:val="Heading1"/>
      </w:pPr>
      <w:r>
        <w:t>4 Functional requirements</w:t>
      </w:r>
    </w:p>
    <w:p>
      <w:pPr>
        <w:pStyle w:val="Heading2"/>
      </w:pPr>
      <w:r>
        <w:t>Account and ownership</w:t>
      </w:r>
    </w:p>
    <w:p>
      <w:r>
        <w:t>Use a maintained authentication provider or library for credentials, sessions and password reset. Every server operation must authorize the signed-in owner, including PDF download. Users must never access another user’s profile, customers or invoices by changing an identifier.</w:t>
      </w:r>
    </w:p>
    <w:p>
      <w:pPr>
        <w:pStyle w:val="Heading2"/>
      </w:pPr>
      <w:r>
        <w:t>Business profile</w:t>
      </w:r>
    </w:p>
    <w:p>
      <w:r>
        <w:t>Store legal or trading name, registration number and tax identifier when applicable, postal address and country, contact email and phone, and optional bank/payment instructions. Store default currency, payment terms in days and invoice notes. Require business name and address before issuing.</w:t>
      </w:r>
    </w:p>
    <w:p>
      <w:pPr>
        <w:pStyle w:val="Heading2"/>
      </w:pPr>
      <w:r>
        <w:t>Customers</w:t>
      </w:r>
    </w:p>
    <w:p>
      <w:r>
        <w:t>Create, edit, list and archive contacts. Store name, address and country, optional registration/tax identifiers, email and phone. Select a saved customer or enter one-off details; saving a new contact is optional. Archiving hides a contact from new selections but preserves history.</w:t>
      </w:r>
    </w:p>
    <w:p>
      <w:pPr>
        <w:pStyle w:val="Heading2"/>
      </w:pPr>
      <w:r>
        <w:t>Invoice editor</w:t>
      </w:r>
    </w:p>
    <w:p>
      <w:r>
        <w:t>Store type, issue date, service date if relevant, due date, payment terms in days, currency, notes and seller/customer snapshots. Default issue date to today and due date to issue date plus terms. A manual due date is allowed and becomes authoritative. Due date must be on or after issue date.</w:t>
      </w:r>
    </w:p>
    <w:p>
      <w:pPr>
        <w:pStyle w:val="Heading2"/>
      </w:pPr>
      <w:r>
        <w:t>Services and totals</w:t>
      </w:r>
    </w:p>
    <w:p>
      <w:r>
        <w:t>Allow ordered lines with description, quantity, optional unit label, unit price excluding tax and tax percentage. Quantity must be positive, price nonnegative and tax between 0 and 100. Support up to 100 lines per invoice; each line may have its own tax rate. No discounts, tax-inclusive pricing or negative lines in the MVP.</w:t>
      </w:r>
    </w:p>
    <w:p>
      <w:pPr>
        <w:pStyle w:val="Heading2"/>
      </w:pPr>
      <w:r>
        <w:t>Validation and saving</w:t>
      </w:r>
    </w:p>
    <w:p>
      <w:r>
        <w:t>Drafts may be incomplete. Issuing requires seller and customer name/address/country, supported currency, valid dates and at least one complete line. Validate and recalculate on the server. Show field-level errors and preserve entered data after failed requests.</w:t>
      </w:r>
    </w:p>
    <w:p>
      <w:pPr>
        <w:pStyle w:val="Heading1"/>
      </w:pPr>
      <w:r>
        <w:t>5 Calculation rules</w:t>
      </w:r>
    </w:p>
    <w:p>
      <w:r>
        <w:t>Use decimal arithmetic. For each line, net = round(quantity × unit price, 2), tax = round(net × tax rate / 100, 2), gross = net + tax. Use round half up. Invoice subtotal is the sum of line nets; tax total is the sum of line taxes; total is subtotal + tax total. The PDF groups taxable net and tax by rate. A zero-tax invoice uses 0% and may include an explanatory note.</w:t>
      </w:r>
    </w:p>
    <w:p>
      <w:r>
        <w:t>Example: quantity 2 × EUR 50.00 at 21% gives EUR 100.00 net, EUR 21.00 tax and EUR 121.00 total. Quantities and unit prices support four decimal places; stored totals use two.</w:t>
      </w:r>
    </w:p>
    <w:p>
      <w:r>
        <w:br w:type="page"/>
      </w:r>
    </w:p>
    <w:p>
      <w:pPr>
        <w:pStyle w:val="Heading1"/>
      </w:pPr>
      <w:r>
        <w:t>6 Invoice lifecycle and numbering</w:t>
      </w:r>
    </w:p>
    <w:tbl>
      <w:tblPr>
        <w:tblW w:type="auto" w:w="0"/>
        <w:tblLayout w:type="fixed"/>
        <w:tblLook w:firstColumn="1" w:firstRow="1" w:lastColumn="0" w:lastRow="0" w:noHBand="0" w:noVBand="1" w:val="04A0"/>
      </w:tblPr>
      <w:tblGrid>
        <w:gridCol w:w="1656"/>
        <w:gridCol w:w="7992"/>
      </w:tblGrid>
      <w:tr>
        <w:trPr>
          <w:tblHeader/>
          <w:cantSplit/>
        </w:trPr>
        <w:tc>
          <w:tcPr>
            <w:tcW w:type="dxa" w:w="1656"/>
            <w:tcBorders>
              <w:top w:val="single" w:sz="4" w:color="D9D9D9"/>
              <w:left w:val="single" w:sz="4" w:color="D9D9D9"/>
              <w:bottom w:val="single" w:sz="4" w:color="D9D9D9"/>
              <w:right w:val="single" w:sz="4" w:color="D9D9D9"/>
            </w:tcBorders>
            <w:shd w:fill="E7E6E6"/>
          </w:tcPr>
          <w:p>
            <w:pPr>
              <w:spacing w:after="80" w:before="80"/>
            </w:pPr>
            <w:r>
              <w:rPr>
                <w:b/>
                <w:sz w:val="18"/>
              </w:rPr>
              <w:t>State</w:t>
            </w:r>
          </w:p>
        </w:tc>
        <w:tc>
          <w:tcPr>
            <w:tcW w:type="dxa" w:w="7992"/>
            <w:tcBorders>
              <w:top w:val="single" w:sz="4" w:color="D9D9D9"/>
              <w:left w:val="single" w:sz="4" w:color="D9D9D9"/>
              <w:bottom w:val="single" w:sz="4" w:color="D9D9D9"/>
              <w:right w:val="single" w:sz="4" w:color="D9D9D9"/>
            </w:tcBorders>
            <w:shd w:fill="E7E6E6"/>
          </w:tcPr>
          <w:p>
            <w:pPr>
              <w:spacing w:after="80" w:before="80"/>
            </w:pPr>
            <w:r>
              <w:rPr>
                <w:b/>
                <w:sz w:val="18"/>
              </w:rPr>
              <w:t>Behavior</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18"/>
              </w:rPr>
              <w:t>draft</w:t>
            </w:r>
          </w:p>
        </w:tc>
        <w:tc>
          <w:tcPr>
            <w:tcW w:type="dxa" w:w="7992"/>
            <w:tcBorders>
              <w:top w:val="single" w:sz="4" w:color="D9D9D9"/>
              <w:left w:val="single" w:sz="4" w:color="D9D9D9"/>
              <w:bottom w:val="single" w:sz="4" w:color="D9D9D9"/>
              <w:right w:val="single" w:sz="4" w:color="D9D9D9"/>
            </w:tcBorders>
          </w:tcPr>
          <w:p>
            <w:pPr>
              <w:spacing w:after="80" w:before="80"/>
            </w:pPr>
            <w:r>
              <w:rPr>
                <w:b w:val="0"/>
                <w:sz w:val="18"/>
              </w:rPr>
              <w:t>Editable and deletable. No invoice number. Preview PDF is clearly marked DRAFT.</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18"/>
              </w:rPr>
              <w:t>issued</w:t>
            </w:r>
          </w:p>
        </w:tc>
        <w:tc>
          <w:tcPr>
            <w:tcW w:type="dxa" w:w="7992"/>
            <w:tcBorders>
              <w:top w:val="single" w:sz="4" w:color="D9D9D9"/>
              <w:left w:val="single" w:sz="4" w:color="D9D9D9"/>
              <w:bottom w:val="single" w:sz="4" w:color="D9D9D9"/>
              <w:right w:val="single" w:sz="4" w:color="D9D9D9"/>
            </w:tcBorders>
          </w:tcPr>
          <w:p>
            <w:pPr>
              <w:spacing w:after="80" w:before="80"/>
            </w:pPr>
            <w:r>
              <w:rPr>
                <w:b w:val="0"/>
                <w:sz w:val="18"/>
              </w:rPr>
              <w:t>Final content and permanent number are locked. PDF can be downloaded; payment is recorded manually.</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18"/>
              </w:rPr>
              <w:t>paid</w:t>
            </w:r>
          </w:p>
        </w:tc>
        <w:tc>
          <w:tcPr>
            <w:tcW w:type="dxa" w:w="7992"/>
            <w:tcBorders>
              <w:top w:val="single" w:sz="4" w:color="D9D9D9"/>
              <w:left w:val="single" w:sz="4" w:color="D9D9D9"/>
              <w:bottom w:val="single" w:sz="4" w:color="D9D9D9"/>
              <w:right w:val="single" w:sz="4" w:color="D9D9D9"/>
            </w:tcBorders>
          </w:tcPr>
          <w:p>
            <w:pPr>
              <w:spacing w:after="80" w:before="80"/>
            </w:pPr>
            <w:r>
              <w:rPr>
                <w:b w:val="0"/>
                <w:sz w:val="18"/>
              </w:rPr>
              <w:t>Owner records full payment and its date. Content stays locked. Incorrect payment marking can be reversed to issued.</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18"/>
              </w:rPr>
              <w:t>cancelled</w:t>
            </w:r>
          </w:p>
        </w:tc>
        <w:tc>
          <w:tcPr>
            <w:tcW w:type="dxa" w:w="7992"/>
            <w:tcBorders>
              <w:top w:val="single" w:sz="4" w:color="D9D9D9"/>
              <w:left w:val="single" w:sz="4" w:color="D9D9D9"/>
              <w:bottom w:val="single" w:sz="4" w:color="D9D9D9"/>
              <w:right w:val="single" w:sz="4" w:color="D9D9D9"/>
            </w:tcBorders>
          </w:tcPr>
          <w:p>
            <w:pPr>
              <w:spacing w:after="80" w:before="80"/>
            </w:pPr>
            <w:r>
              <w:rPr>
                <w:b w:val="0"/>
                <w:sz w:val="18"/>
              </w:rPr>
              <w:t>Owner cancels an issued invoice with a required reason. Number and content remain retained. PDF is marked CANCELLED.</w:t>
            </w:r>
          </w:p>
        </w:tc>
      </w:tr>
    </w:tbl>
    <w:p>
      <w:pPr>
        <w:spacing w:after="0"/>
      </w:pPr>
    </w:p>
    <w:p>
      <w:r>
        <w:t>Allowed transitions: draft → issued; issued → paid; paid → issued; issued → cancelled. Cancelled is terminal. To cancel an incorrectly paid invoice, first reverse the payment marking. Issued, paid and cancelled invoices cannot be deleted or edited. Corrections are made by cancellation and a new draft. No credit-note workflow is included.</w:t>
      </w:r>
    </w:p>
    <w:p>
      <w:r>
        <w:t>Overdue is not a stored status: an issued invoice is overdue when due_date is earlier than today in the Europe/Vilnius application timezone. Paid and cancelled invoices are never overdue. Payment date is required when marking paid and cannot precede issue date or exceed today.</w:t>
      </w:r>
    </w:p>
    <w:p>
      <w:r>
        <w:t>Assign numbers only on issuing, with independent sequences per account, type and issue-date year: INV-2026-000001 and ADV-2026-000001. Counters reset for a new year; padding has a minimum width of six digits. Allocate the number and issue the invoice in one transaction. Concurrent or retried requests must not create duplicate numbers or renumber an already issued invoice. Never reuse a committed number, including cancelled invoices.</w:t>
      </w:r>
    </w:p>
    <w:p>
      <w:pPr>
        <w:pStyle w:val="Heading1"/>
      </w:pPr>
      <w:r>
        <w:t>7 Duplication and historical accuracy</w:t>
      </w:r>
    </w:p>
    <w:p>
      <w:r>
        <w:t>Duplicating any invoice creates a new draft owned by the same user. Copy type, customer snapshot and reference, ordered items, currency, terms and notes. Use the current business profile for the seller snapshot. Reset issue date to today, due date to today plus copied terms, and service date to empty. Clear number, sequence, issued timestamp, payment and cancellation data. The original remains unchanged; the new draft may change type before issue.</w:t>
      </w:r>
    </w:p>
    <w:p>
      <w:r>
        <w:t>Profile and customer changes do not silently update saved drafts or historical invoices. Drafts may explicitly refresh their seller/customer details. At issue time, freeze the saved snapshots, line values and totals. An archived customer may still appear on a duplicated draft because the copied snapshot remains valid.</w:t>
      </w:r>
    </w:p>
    <w:p>
      <w:r>
        <w:br w:type="page"/>
      </w:r>
    </w:p>
    <w:p>
      <w:pPr>
        <w:pStyle w:val="Heading1"/>
      </w:pPr>
      <w:r>
        <w:t>8 PDF generation and downloads</w:t>
      </w:r>
    </w:p>
    <w:p>
      <w:r>
        <w:t>Generate a professional portrait A4 PDF with searchable text, consistent margins, a clear Standard Invoice or Advance Invoice title, seller and customer details, number, dates, currency, payment instructions, service lines, tax breakdown, totals and notes. Repeat table headers on later pages, add page numbers and handle long descriptions and Unicode text without clipping. Do not require a logo or custom templates.</w:t>
      </w:r>
    </w:p>
    <w:p>
      <w:r>
        <w:t>Generate PDFs on demand from saved invoice snapshots and items; no separate file-storage entity is required. A draft download has a DRAFT watermark and no official number. A cancelled download is marked CANCELLED with its reason. Paid status does not alter the invoice’s financial content. Use safe filenames based on invoice number, or draft ID for drafts. Protect download endpoints and avoid public file URLs.</w:t>
      </w:r>
    </w:p>
    <w:p>
      <w:r>
        <w:t>Issuing commits invoice data independently of rendering. If PDF generation fails, retain the issued invoice and its number and allow download retry. Never issue another invoice automatically after a rendering error.</w:t>
      </w:r>
    </w:p>
    <w:p>
      <w:pPr>
        <w:pStyle w:val="Heading1"/>
      </w:pPr>
      <w:r>
        <w:t>9 Acceptance criteria</w:t>
      </w:r>
    </w:p>
    <w:p>
      <w:pPr>
        <w:pStyle w:val="ListBullet"/>
      </w:pPr>
      <w:r>
        <w:t>A new user can register, reset their password, log in, complete a profile and log out.</w:t>
      </w:r>
    </w:p>
    <w:p>
      <w:pPr>
        <w:pStyle w:val="ListBullet"/>
      </w:pPr>
      <w:r>
        <w:t>Two accounts cannot read or change each other’s records or obtain each other’s PDFs, including through guessed identifiers.</w:t>
      </w:r>
    </w:p>
    <w:p>
      <w:pPr>
        <w:pStyle w:val="ListBullet"/>
      </w:pPr>
      <w:r>
        <w:t>A saved customer can be selected; one-off details can be used without creating a contact; later contact edits do not change issued invoices.</w:t>
      </w:r>
    </w:p>
    <w:p>
      <w:pPr>
        <w:pStyle w:val="ListBullet"/>
      </w:pPr>
      <w:r>
        <w:t>Both invoice types can be saved as drafts, issued and downloaded. Invalid required fields block issuing with clear errors.</w:t>
      </w:r>
    </w:p>
    <w:p>
      <w:pPr>
        <w:pStyle w:val="ListBullet"/>
      </w:pPr>
      <w:r>
        <w:t>Server totals match the calculation example and rounding edge cases. Mixed tax rates and zero-tax invoices display correct totals.</w:t>
      </w:r>
    </w:p>
    <w:p>
      <w:pPr>
        <w:pStyle w:val="ListBullet"/>
      </w:pPr>
      <w:r>
        <w:t>Concurrent issue operations get unique numbers; retrying issue on the same invoice returns its existing number.</w:t>
      </w:r>
    </w:p>
    <w:p>
      <w:pPr>
        <w:pStyle w:val="ListBullet"/>
      </w:pPr>
      <w:r>
        <w:t>Duplicating an invoice preserves reusable content, applies the specified resets and does not alter the source.</w:t>
      </w:r>
    </w:p>
    <w:p>
      <w:pPr>
        <w:pStyle w:val="ListBullet"/>
      </w:pPr>
      <w:r>
        <w:t>Status transitions, cancellation reason, payment-date validation and overdue boundary behavior follow Section 6.</w:t>
      </w:r>
    </w:p>
    <w:p>
      <w:pPr>
        <w:pStyle w:val="ListBullet"/>
      </w:pPr>
      <w:r>
        <w:t>A PDF with 100 lines, long descriptions and accented characters paginates cleanly. A failed download can be retried without a new number.</w:t>
      </w:r>
    </w:p>
    <w:p>
      <w:pPr>
        <w:pStyle w:val="ListBullet"/>
      </w:pPr>
      <w:r>
        <w:t>History is searchable and filterable, and survives logout and a later login.</w:t>
      </w:r>
    </w:p>
    <w:p>
      <w:pPr>
        <w:pStyle w:val="Heading1"/>
      </w:pPr>
      <w:r>
        <w:t>10 Implementation boundary</w:t>
      </w:r>
    </w:p>
    <w:p>
      <w:r>
        <w:t>Use a relational database and one server application. Keep authentication delegated to its standard provider/library. Validate ownership and all financial inputs server-side; never trust browser totals. Treat country-specific invoice wording and tax treatment as a launch configuration decision to confirm for the intended market; this MVP does not implement jurisdiction-specific tax automation.</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subject/>
  <dc:creator>Igor</dc:creator>
  <cp:keywords/>
  <dc:description>generated by python-docx</dc:description>
  <cp:lastModifiedBy/>
  <cp:revision>1</cp:revision>
  <dcterms:created xsi:type="dcterms:W3CDTF">2013-12-23T23:15:00Z</dcterms:created>
  <dcterms:modified xsi:type="dcterms:W3CDTF">2013-12-23T23:15:00Z</dcterms:modified>
  <cp:category/>
</cp:coreProperties>
</file>