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53CF" w14:textId="65A225A2" w:rsidR="001D3E33" w:rsidRPr="00B257D1" w:rsidRDefault="00B257D1">
      <w:pPr>
        <w:rPr>
          <w:rFonts w:ascii="Arial" w:hAnsi="Arial" w:cs="Arial"/>
        </w:rPr>
      </w:pPr>
      <w:r w:rsidRPr="00B257D1">
        <w:rPr>
          <w:rFonts w:ascii="Arial" w:hAnsi="Arial" w:cs="Arial"/>
        </w:rPr>
        <w:t>Crowd Funding Campaigns</w:t>
      </w:r>
    </w:p>
    <w:p w14:paraId="19D4149E" w14:textId="77777777" w:rsidR="00B257D1" w:rsidRDefault="00B257D1"/>
    <w:p w14:paraId="24E70BCC" w14:textId="7BC10055" w:rsidR="00B257D1" w:rsidRDefault="00B257D1">
      <w:r>
        <w:rPr>
          <w:noProof/>
        </w:rPr>
        <w:drawing>
          <wp:inline distT="0" distB="0" distL="0" distR="0" wp14:anchorId="3636B00B" wp14:editId="2691763F">
            <wp:extent cx="4714875" cy="2593023"/>
            <wp:effectExtent l="0" t="0" r="9525" b="10795"/>
            <wp:docPr id="1760582567" name="Chart 1">
              <a:extLst xmlns:a="http://schemas.openxmlformats.org/drawingml/2006/main">
                <a:ext uri="{FF2B5EF4-FFF2-40B4-BE49-F238E27FC236}">
                  <a16:creationId xmlns:a16="http://schemas.microsoft.com/office/drawing/2014/main" id="{BB05B74A-A5A7-A27F-E044-0AE361A50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49CB18" w14:textId="7D1F67C3" w:rsidR="00B257D1" w:rsidRDefault="00B257D1">
      <w:r>
        <w:t>Figure 1.</w:t>
      </w:r>
      <w:r w:rsidR="00507DF5">
        <w:t xml:space="preserve"> Crowd Funding Campaign</w:t>
      </w:r>
      <w:r w:rsidR="0057093A">
        <w:t xml:space="preserve"> Support</w:t>
      </w:r>
      <w:r w:rsidR="00507DF5">
        <w:t xml:space="preserve"> by Category and Outcome</w:t>
      </w:r>
    </w:p>
    <w:p w14:paraId="735F4994" w14:textId="77777777" w:rsidR="006769DD" w:rsidRDefault="006769DD"/>
    <w:p w14:paraId="2563393A" w14:textId="77777777" w:rsidR="00507DF5" w:rsidRDefault="00507DF5"/>
    <w:p w14:paraId="46AF8880" w14:textId="4F11D456" w:rsidR="00507DF5" w:rsidRDefault="00507DF5">
      <w:r>
        <w:rPr>
          <w:noProof/>
        </w:rPr>
        <w:drawing>
          <wp:inline distT="0" distB="0" distL="0" distR="0" wp14:anchorId="7A0BC067" wp14:editId="7B5C51AB">
            <wp:extent cx="6425565" cy="3296920"/>
            <wp:effectExtent l="0" t="0" r="13335" b="17780"/>
            <wp:docPr id="324296319" name="Chart 1">
              <a:extLst xmlns:a="http://schemas.openxmlformats.org/drawingml/2006/main">
                <a:ext uri="{FF2B5EF4-FFF2-40B4-BE49-F238E27FC236}">
                  <a16:creationId xmlns:a16="http://schemas.microsoft.com/office/drawing/2014/main" id="{98A997EC-7DA5-38A0-8D3C-F45DDDD40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A90946" w14:textId="1ED4278B" w:rsidR="00507DF5" w:rsidRDefault="00507DF5">
      <w:r>
        <w:t>Figure 2. Crowd Funding Campaign</w:t>
      </w:r>
      <w:r w:rsidR="0057093A">
        <w:t xml:space="preserve"> Support</w:t>
      </w:r>
      <w:r>
        <w:t xml:space="preserve"> by Sub-Category and Outcome</w:t>
      </w:r>
    </w:p>
    <w:p w14:paraId="31C44335" w14:textId="4E292458" w:rsidR="00F50BA2" w:rsidRDefault="00F50BA2">
      <w:r>
        <w:t xml:space="preserve">This data support </w:t>
      </w:r>
      <w:r w:rsidR="00CA7C63">
        <w:t>crowd funding to be directly proportional in relation to success versus failures.</w:t>
      </w:r>
    </w:p>
    <w:p w14:paraId="69465661" w14:textId="77777777" w:rsidR="00D5472C" w:rsidRDefault="00D5472C"/>
    <w:p w14:paraId="46327981" w14:textId="6C43D025" w:rsidR="00D5472C" w:rsidRDefault="00B8085C">
      <w:r>
        <w:rPr>
          <w:noProof/>
        </w:rPr>
        <w:lastRenderedPageBreak/>
        <w:drawing>
          <wp:inline distT="0" distB="0" distL="0" distR="0" wp14:anchorId="00950F49" wp14:editId="738F0769">
            <wp:extent cx="4540250" cy="2416029"/>
            <wp:effectExtent l="0" t="0" r="6350" b="10160"/>
            <wp:docPr id="658118534" name="Chart 1">
              <a:extLst xmlns:a="http://schemas.openxmlformats.org/drawingml/2006/main">
                <a:ext uri="{FF2B5EF4-FFF2-40B4-BE49-F238E27FC236}">
                  <a16:creationId xmlns:a16="http://schemas.microsoft.com/office/drawing/2014/main" id="{44A47C7D-E6EE-63E1-8172-F6CDFA255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2F3FC8" w14:textId="7C656A9F" w:rsidR="00B8085C" w:rsidRDefault="00561828">
      <w:r>
        <w:t>Figure 3. Crowd Funding Campaign Outcomes by Time of Year</w:t>
      </w:r>
    </w:p>
    <w:p w14:paraId="2E13DC5B" w14:textId="77777777" w:rsidR="00B8085C" w:rsidRDefault="00B8085C"/>
    <w:p w14:paraId="1CC56B82" w14:textId="0B0DE7FB" w:rsidR="003C27E0" w:rsidRDefault="003C27E0">
      <w:pPr>
        <w:rPr>
          <w:rFonts w:ascii="Arial" w:hAnsi="Arial" w:cs="Arial"/>
          <w:b/>
          <w:bCs/>
          <w:sz w:val="22"/>
          <w:szCs w:val="22"/>
        </w:rPr>
      </w:pPr>
      <w:r w:rsidRPr="003C27E0">
        <w:rPr>
          <w:rFonts w:ascii="Arial" w:hAnsi="Arial" w:cs="Arial"/>
          <w:b/>
          <w:bCs/>
          <w:sz w:val="22"/>
          <w:szCs w:val="22"/>
        </w:rPr>
        <w:t>Results</w:t>
      </w:r>
    </w:p>
    <w:p w14:paraId="70BDC31F" w14:textId="77777777" w:rsidR="003C27E0" w:rsidRPr="003C27E0" w:rsidRDefault="003C27E0">
      <w:pPr>
        <w:rPr>
          <w:rFonts w:ascii="Arial" w:hAnsi="Arial" w:cs="Arial"/>
          <w:b/>
          <w:bCs/>
          <w:sz w:val="22"/>
          <w:szCs w:val="22"/>
        </w:rPr>
      </w:pPr>
    </w:p>
    <w:p w14:paraId="1EDDD566" w14:textId="0AE0CC04" w:rsidR="00CA7C63" w:rsidRPr="003C27E0" w:rsidRDefault="003C27E0" w:rsidP="00CA7C63">
      <w:pPr>
        <w:rPr>
          <w:rFonts w:ascii="Arial" w:hAnsi="Arial" w:cs="Arial"/>
          <w:sz w:val="22"/>
          <w:szCs w:val="22"/>
        </w:rPr>
      </w:pPr>
      <w:r>
        <w:rPr>
          <w:rFonts w:ascii="Arial" w:hAnsi="Arial" w:cs="Arial"/>
          <w:sz w:val="22"/>
          <w:szCs w:val="22"/>
        </w:rPr>
        <w:t xml:space="preserve">     </w:t>
      </w:r>
      <w:r w:rsidR="00CA7C63" w:rsidRPr="003C27E0">
        <w:rPr>
          <w:rFonts w:ascii="Arial" w:hAnsi="Arial" w:cs="Arial"/>
          <w:sz w:val="22"/>
          <w:szCs w:val="22"/>
        </w:rPr>
        <w:t xml:space="preserve">Figure 1 supports that project categories in the entertainment industry (film, video, music and theater) experience the greatest number of crowd funding supporters.  Figure 2 upholds a direct proportional relationship (also evident in </w:t>
      </w:r>
      <w:r w:rsidR="0086713B" w:rsidRPr="003C27E0">
        <w:rPr>
          <w:rFonts w:ascii="Arial" w:hAnsi="Arial" w:cs="Arial"/>
          <w:sz w:val="22"/>
          <w:szCs w:val="22"/>
        </w:rPr>
        <w:t>F</w:t>
      </w:r>
      <w:r w:rsidR="00CA7C63" w:rsidRPr="003C27E0">
        <w:rPr>
          <w:rFonts w:ascii="Arial" w:hAnsi="Arial" w:cs="Arial"/>
          <w:sz w:val="22"/>
          <w:szCs w:val="22"/>
        </w:rPr>
        <w:t xml:space="preserve">igure 1), between successful and failed campaigns, despite the number of supporters. Figure 3 </w:t>
      </w:r>
      <w:r w:rsidR="007F5F6C" w:rsidRPr="003C27E0">
        <w:rPr>
          <w:rFonts w:ascii="Arial" w:hAnsi="Arial" w:cs="Arial"/>
          <w:sz w:val="22"/>
          <w:szCs w:val="22"/>
        </w:rPr>
        <w:t>shows the summer months as the ideal time target for a crowd funding campaign to succeed, given the increase in successful campaigns and simultaneous decrease in failures.</w:t>
      </w:r>
    </w:p>
    <w:p w14:paraId="5EC54849" w14:textId="77777777" w:rsidR="007F5F6C" w:rsidRDefault="007F5F6C" w:rsidP="00CA7C63">
      <w:pPr>
        <w:rPr>
          <w:rFonts w:ascii="Arial" w:hAnsi="Arial" w:cs="Arial"/>
          <w:sz w:val="22"/>
          <w:szCs w:val="22"/>
        </w:rPr>
      </w:pPr>
    </w:p>
    <w:p w14:paraId="58EA7A91" w14:textId="77777777" w:rsidR="003C27E0" w:rsidRDefault="003C27E0" w:rsidP="00CA7C63">
      <w:pPr>
        <w:rPr>
          <w:rFonts w:ascii="Arial" w:hAnsi="Arial" w:cs="Arial"/>
          <w:sz w:val="22"/>
          <w:szCs w:val="22"/>
        </w:rPr>
      </w:pPr>
    </w:p>
    <w:p w14:paraId="26D5D731" w14:textId="576C6CF8" w:rsidR="003C27E0" w:rsidRPr="003C27E0" w:rsidRDefault="003C27E0" w:rsidP="00CA7C63">
      <w:pPr>
        <w:rPr>
          <w:rFonts w:ascii="Arial" w:hAnsi="Arial" w:cs="Arial"/>
          <w:b/>
          <w:bCs/>
          <w:sz w:val="22"/>
          <w:szCs w:val="22"/>
        </w:rPr>
      </w:pPr>
      <w:r w:rsidRPr="003C27E0">
        <w:rPr>
          <w:rFonts w:ascii="Arial" w:hAnsi="Arial" w:cs="Arial"/>
          <w:b/>
          <w:bCs/>
          <w:sz w:val="22"/>
          <w:szCs w:val="22"/>
        </w:rPr>
        <w:t>Limitations</w:t>
      </w:r>
    </w:p>
    <w:p w14:paraId="2D1200D8" w14:textId="77777777" w:rsidR="003C27E0" w:rsidRPr="003C27E0" w:rsidRDefault="003C27E0" w:rsidP="00CA7C63">
      <w:pPr>
        <w:rPr>
          <w:rFonts w:ascii="Arial" w:hAnsi="Arial" w:cs="Arial"/>
          <w:sz w:val="22"/>
          <w:szCs w:val="22"/>
        </w:rPr>
      </w:pPr>
    </w:p>
    <w:p w14:paraId="11F41FD5" w14:textId="55FA1874" w:rsidR="00DF6215" w:rsidRPr="003C27E0" w:rsidRDefault="00DF6215" w:rsidP="00CA7C63">
      <w:pPr>
        <w:rPr>
          <w:rFonts w:ascii="Arial" w:hAnsi="Arial" w:cs="Arial"/>
          <w:sz w:val="22"/>
          <w:szCs w:val="22"/>
        </w:rPr>
      </w:pPr>
      <w:r w:rsidRPr="003C27E0">
        <w:rPr>
          <w:rFonts w:ascii="Arial" w:hAnsi="Arial" w:cs="Arial"/>
          <w:sz w:val="22"/>
          <w:szCs w:val="22"/>
        </w:rPr>
        <w:t xml:space="preserve">     </w:t>
      </w:r>
      <w:r w:rsidR="003C27E0">
        <w:rPr>
          <w:rFonts w:ascii="Arial" w:hAnsi="Arial" w:cs="Arial"/>
          <w:sz w:val="22"/>
          <w:szCs w:val="22"/>
        </w:rPr>
        <w:t>T</w:t>
      </w:r>
      <w:r w:rsidR="007F5F6C" w:rsidRPr="003C27E0">
        <w:rPr>
          <w:rFonts w:ascii="Arial" w:hAnsi="Arial" w:cs="Arial"/>
          <w:sz w:val="22"/>
          <w:szCs w:val="22"/>
        </w:rPr>
        <w:t xml:space="preserve">his data </w:t>
      </w:r>
      <w:r w:rsidR="005935DF">
        <w:rPr>
          <w:rFonts w:ascii="Arial" w:hAnsi="Arial" w:cs="Arial"/>
          <w:sz w:val="22"/>
          <w:szCs w:val="22"/>
        </w:rPr>
        <w:t>lacks</w:t>
      </w:r>
      <w:r w:rsidR="007F5F6C" w:rsidRPr="003C27E0">
        <w:rPr>
          <w:rFonts w:ascii="Arial" w:hAnsi="Arial" w:cs="Arial"/>
          <w:sz w:val="22"/>
          <w:szCs w:val="22"/>
        </w:rPr>
        <w:t xml:space="preserve"> demographics. No information regarding the supporters or the campaign hosts, is provided. </w:t>
      </w:r>
      <w:r w:rsidR="0086713B" w:rsidRPr="003C27E0">
        <w:rPr>
          <w:rFonts w:ascii="Arial" w:hAnsi="Arial" w:cs="Arial"/>
          <w:sz w:val="22"/>
          <w:szCs w:val="22"/>
        </w:rPr>
        <w:t>A significant portion of crowdfunding supporters are shown to contribute to the entertainment industry. Collecting demographic data on these supporters could provide insight as to w</w:t>
      </w:r>
      <w:r w:rsidRPr="003C27E0">
        <w:rPr>
          <w:rFonts w:ascii="Arial" w:hAnsi="Arial" w:cs="Arial"/>
          <w:sz w:val="22"/>
          <w:szCs w:val="22"/>
        </w:rPr>
        <w:t>hat other categories can capitalize on to boost their support popularity</w:t>
      </w:r>
      <w:r w:rsidR="0086713B" w:rsidRPr="003C27E0">
        <w:rPr>
          <w:rFonts w:ascii="Arial" w:hAnsi="Arial" w:cs="Arial"/>
          <w:sz w:val="22"/>
          <w:szCs w:val="22"/>
        </w:rPr>
        <w:t xml:space="preserve">. Additionally, acquired data on the supporters will allow marketing campaigns to target these audiences efficiently to secure more funds. </w:t>
      </w:r>
    </w:p>
    <w:p w14:paraId="4BFA29F7" w14:textId="2DDCD877" w:rsidR="00DF6215" w:rsidRPr="003C27E0" w:rsidRDefault="00DF6215" w:rsidP="00CA7C63">
      <w:pPr>
        <w:rPr>
          <w:rFonts w:ascii="Arial" w:hAnsi="Arial" w:cs="Arial"/>
          <w:sz w:val="22"/>
          <w:szCs w:val="22"/>
        </w:rPr>
      </w:pPr>
      <w:r w:rsidRPr="003C27E0">
        <w:rPr>
          <w:rFonts w:ascii="Arial" w:hAnsi="Arial" w:cs="Arial"/>
          <w:sz w:val="22"/>
          <w:szCs w:val="22"/>
        </w:rPr>
        <w:t xml:space="preserve">     </w:t>
      </w:r>
      <w:r w:rsidR="005935DF">
        <w:rPr>
          <w:rFonts w:ascii="Arial" w:hAnsi="Arial" w:cs="Arial"/>
          <w:sz w:val="22"/>
          <w:szCs w:val="22"/>
        </w:rPr>
        <w:t xml:space="preserve">None of the </w:t>
      </w:r>
      <w:r w:rsidR="000669C4" w:rsidRPr="003C27E0">
        <w:rPr>
          <w:rFonts w:ascii="Arial" w:hAnsi="Arial" w:cs="Arial"/>
          <w:sz w:val="22"/>
          <w:szCs w:val="22"/>
        </w:rPr>
        <w:t xml:space="preserve">failed </w:t>
      </w:r>
      <w:r w:rsidR="001D785D" w:rsidRPr="003C27E0">
        <w:rPr>
          <w:rFonts w:ascii="Arial" w:hAnsi="Arial" w:cs="Arial"/>
          <w:sz w:val="22"/>
          <w:szCs w:val="22"/>
        </w:rPr>
        <w:t xml:space="preserve">or cancelled </w:t>
      </w:r>
      <w:r w:rsidR="000669C4" w:rsidRPr="003C27E0">
        <w:rPr>
          <w:rFonts w:ascii="Arial" w:hAnsi="Arial" w:cs="Arial"/>
          <w:sz w:val="22"/>
          <w:szCs w:val="22"/>
        </w:rPr>
        <w:t>campaign</w:t>
      </w:r>
      <w:r w:rsidR="005935DF">
        <w:rPr>
          <w:rFonts w:ascii="Arial" w:hAnsi="Arial" w:cs="Arial"/>
          <w:sz w:val="22"/>
          <w:szCs w:val="22"/>
        </w:rPr>
        <w:t>s provided a reason regarding their demise.</w:t>
      </w:r>
      <w:r w:rsidR="000669C4" w:rsidRPr="003C27E0">
        <w:rPr>
          <w:rFonts w:ascii="Arial" w:hAnsi="Arial" w:cs="Arial"/>
          <w:sz w:val="22"/>
          <w:szCs w:val="22"/>
        </w:rPr>
        <w:t xml:space="preserve"> Several organizations that achieved their financial goal, did not succeed in their campaign</w:t>
      </w:r>
      <w:r w:rsidR="001977A3" w:rsidRPr="003C27E0">
        <w:rPr>
          <w:rFonts w:ascii="Arial" w:hAnsi="Arial" w:cs="Arial"/>
          <w:sz w:val="22"/>
          <w:szCs w:val="22"/>
        </w:rPr>
        <w:t>.</w:t>
      </w:r>
      <w:r w:rsidR="00E56413" w:rsidRPr="003C27E0">
        <w:rPr>
          <w:rFonts w:ascii="Arial" w:hAnsi="Arial" w:cs="Arial"/>
          <w:sz w:val="22"/>
          <w:szCs w:val="22"/>
        </w:rPr>
        <w:t xml:space="preserve"> </w:t>
      </w:r>
      <w:r w:rsidR="0086713B" w:rsidRPr="003C27E0">
        <w:rPr>
          <w:rFonts w:ascii="Arial" w:hAnsi="Arial" w:cs="Arial"/>
          <w:sz w:val="22"/>
          <w:szCs w:val="22"/>
        </w:rPr>
        <w:t xml:space="preserve">Collecting this information can provide </w:t>
      </w:r>
      <w:r w:rsidRPr="003C27E0">
        <w:rPr>
          <w:rFonts w:ascii="Arial" w:hAnsi="Arial" w:cs="Arial"/>
          <w:sz w:val="22"/>
          <w:szCs w:val="22"/>
        </w:rPr>
        <w:t>a map of milestones</w:t>
      </w:r>
      <w:r w:rsidR="0086713B" w:rsidRPr="003C27E0">
        <w:rPr>
          <w:rFonts w:ascii="Arial" w:hAnsi="Arial" w:cs="Arial"/>
          <w:sz w:val="22"/>
          <w:szCs w:val="22"/>
        </w:rPr>
        <w:t xml:space="preserve"> </w:t>
      </w:r>
      <w:r w:rsidR="005935DF">
        <w:rPr>
          <w:rFonts w:ascii="Arial" w:hAnsi="Arial" w:cs="Arial"/>
          <w:sz w:val="22"/>
          <w:szCs w:val="22"/>
        </w:rPr>
        <w:t xml:space="preserve">on the pathway to success </w:t>
      </w:r>
      <w:r w:rsidRPr="003C27E0">
        <w:rPr>
          <w:rFonts w:ascii="Arial" w:hAnsi="Arial" w:cs="Arial"/>
          <w:sz w:val="22"/>
          <w:szCs w:val="22"/>
        </w:rPr>
        <w:t>or alerts to unforeseen consequences that may not present as obvious opportunities or pitfalls on the campaign trai</w:t>
      </w:r>
      <w:r w:rsidR="005935DF">
        <w:rPr>
          <w:rFonts w:ascii="Arial" w:hAnsi="Arial" w:cs="Arial"/>
          <w:sz w:val="22"/>
          <w:szCs w:val="22"/>
        </w:rPr>
        <w:t xml:space="preserve">l. </w:t>
      </w:r>
    </w:p>
    <w:p w14:paraId="76A800EE" w14:textId="3292F71A" w:rsidR="001A22E6" w:rsidRPr="003C27E0" w:rsidRDefault="00DF6215" w:rsidP="00CA7C63">
      <w:pPr>
        <w:rPr>
          <w:rFonts w:ascii="Arial" w:hAnsi="Arial" w:cs="Arial"/>
          <w:sz w:val="22"/>
          <w:szCs w:val="22"/>
        </w:rPr>
      </w:pPr>
      <w:r w:rsidRPr="003C27E0">
        <w:rPr>
          <w:rFonts w:ascii="Arial" w:hAnsi="Arial" w:cs="Arial"/>
          <w:sz w:val="22"/>
          <w:szCs w:val="22"/>
        </w:rPr>
        <w:t xml:space="preserve">     </w:t>
      </w:r>
      <w:r w:rsidR="00E56413" w:rsidRPr="003C27E0">
        <w:rPr>
          <w:rFonts w:ascii="Arial" w:hAnsi="Arial" w:cs="Arial"/>
          <w:sz w:val="22"/>
          <w:szCs w:val="22"/>
        </w:rPr>
        <w:t>Va</w:t>
      </w:r>
      <w:r w:rsidR="00754203" w:rsidRPr="003C27E0">
        <w:rPr>
          <w:rFonts w:ascii="Arial" w:hAnsi="Arial" w:cs="Arial"/>
          <w:sz w:val="22"/>
          <w:szCs w:val="22"/>
        </w:rPr>
        <w:t>riability i</w:t>
      </w:r>
      <w:r w:rsidRPr="003C27E0">
        <w:rPr>
          <w:rFonts w:ascii="Arial" w:hAnsi="Arial" w:cs="Arial"/>
          <w:sz w:val="22"/>
          <w:szCs w:val="22"/>
        </w:rPr>
        <w:t xml:space="preserve">s vast </w:t>
      </w:r>
      <w:r w:rsidR="00F57B18" w:rsidRPr="003C27E0">
        <w:rPr>
          <w:rFonts w:ascii="Arial" w:hAnsi="Arial" w:cs="Arial"/>
          <w:sz w:val="22"/>
          <w:szCs w:val="22"/>
        </w:rPr>
        <w:t xml:space="preserve">in </w:t>
      </w:r>
      <w:r w:rsidRPr="003C27E0">
        <w:rPr>
          <w:rFonts w:ascii="Arial" w:hAnsi="Arial" w:cs="Arial"/>
          <w:sz w:val="22"/>
          <w:szCs w:val="22"/>
        </w:rPr>
        <w:t xml:space="preserve">this analysis. A number of the categories are unrelated (food trucks versus </w:t>
      </w:r>
      <w:r w:rsidR="00F57B18" w:rsidRPr="003C27E0">
        <w:rPr>
          <w:rFonts w:ascii="Arial" w:hAnsi="Arial" w:cs="Arial"/>
          <w:sz w:val="22"/>
          <w:szCs w:val="22"/>
        </w:rPr>
        <w:t xml:space="preserve">films) where </w:t>
      </w:r>
      <w:r w:rsidR="00754203" w:rsidRPr="003C27E0">
        <w:rPr>
          <w:rFonts w:ascii="Arial" w:hAnsi="Arial" w:cs="Arial"/>
          <w:sz w:val="22"/>
          <w:szCs w:val="22"/>
        </w:rPr>
        <w:t>the parent and sub categories</w:t>
      </w:r>
      <w:r w:rsidR="00E56413" w:rsidRPr="003C27E0">
        <w:rPr>
          <w:rFonts w:ascii="Arial" w:hAnsi="Arial" w:cs="Arial"/>
          <w:sz w:val="22"/>
          <w:szCs w:val="22"/>
        </w:rPr>
        <w:t xml:space="preserve"> pose </w:t>
      </w:r>
      <w:r w:rsidR="00754203" w:rsidRPr="003C27E0">
        <w:rPr>
          <w:rFonts w:ascii="Arial" w:hAnsi="Arial" w:cs="Arial"/>
          <w:sz w:val="22"/>
          <w:szCs w:val="22"/>
        </w:rPr>
        <w:t>different vulnerabilities</w:t>
      </w:r>
      <w:r w:rsidR="00F57B18" w:rsidRPr="003C27E0">
        <w:rPr>
          <w:rFonts w:ascii="Arial" w:hAnsi="Arial" w:cs="Arial"/>
          <w:sz w:val="22"/>
          <w:szCs w:val="22"/>
        </w:rPr>
        <w:t xml:space="preserve">. Food trucks can be subject to food shortages, and foodborne illness outbreaks that would not inhibit film and entertainment fundraising. Whereas copyrights, politics and weather patterns could impede the film industry without obstruction to the food industry. </w:t>
      </w:r>
    </w:p>
    <w:p w14:paraId="6406EF63" w14:textId="77777777" w:rsidR="001A22E6" w:rsidRDefault="001A22E6" w:rsidP="00CA7C63"/>
    <w:p w14:paraId="3DAB1FDC" w14:textId="77777777" w:rsidR="003C27E0" w:rsidRDefault="003C27E0" w:rsidP="00CA7C63"/>
    <w:p w14:paraId="28D43CDE" w14:textId="77777777" w:rsidR="003C27E0" w:rsidRDefault="003C27E0" w:rsidP="00CA7C63"/>
    <w:p w14:paraId="368BAC0D" w14:textId="3DAC3425" w:rsidR="005935DF" w:rsidRPr="005935DF" w:rsidRDefault="005935DF" w:rsidP="00CA7C63">
      <w:pPr>
        <w:rPr>
          <w:b/>
          <w:bCs/>
        </w:rPr>
      </w:pPr>
      <w:r w:rsidRPr="005935DF">
        <w:rPr>
          <w:b/>
          <w:bCs/>
        </w:rPr>
        <w:lastRenderedPageBreak/>
        <w:t>Crowdfunding Goal Analysis</w:t>
      </w:r>
    </w:p>
    <w:p w14:paraId="55C234E7" w14:textId="0C69165D" w:rsidR="003C27E0" w:rsidRDefault="003C27E0" w:rsidP="00CA7C63">
      <w:r>
        <w:t>Table 1. Crowdfunding Goal Analysis: Campaign Success Stratified by Fundraising Target</w:t>
      </w:r>
    </w:p>
    <w:tbl>
      <w:tblPr>
        <w:tblStyle w:val="TableGrid"/>
        <w:tblW w:w="9933" w:type="dxa"/>
        <w:tblLook w:val="04A0" w:firstRow="1" w:lastRow="0" w:firstColumn="1" w:lastColumn="0" w:noHBand="0" w:noVBand="1"/>
      </w:tblPr>
      <w:tblGrid>
        <w:gridCol w:w="1509"/>
        <w:gridCol w:w="1458"/>
        <w:gridCol w:w="1218"/>
        <w:gridCol w:w="841"/>
        <w:gridCol w:w="1093"/>
        <w:gridCol w:w="1458"/>
        <w:gridCol w:w="1024"/>
        <w:gridCol w:w="1332"/>
      </w:tblGrid>
      <w:tr w:rsidR="00F57B18" w:rsidRPr="00F57B18" w14:paraId="24E7903E" w14:textId="77777777" w:rsidTr="003C27E0">
        <w:trPr>
          <w:trHeight w:val="320"/>
        </w:trPr>
        <w:tc>
          <w:tcPr>
            <w:tcW w:w="0" w:type="auto"/>
            <w:tcBorders>
              <w:top w:val="nil"/>
              <w:left w:val="nil"/>
              <w:bottom w:val="nil"/>
              <w:right w:val="nil"/>
            </w:tcBorders>
            <w:shd w:val="clear" w:color="auto" w:fill="000000" w:themeFill="text1"/>
            <w:noWrap/>
            <w:hideMark/>
          </w:tcPr>
          <w:p w14:paraId="5F852A1C" w14:textId="77777777" w:rsidR="00F57B18" w:rsidRPr="00F57B18" w:rsidRDefault="00F57B18">
            <w:pPr>
              <w:rPr>
                <w:rFonts w:ascii="Arial" w:hAnsi="Arial" w:cs="Arial"/>
                <w:sz w:val="20"/>
                <w:szCs w:val="20"/>
              </w:rPr>
            </w:pPr>
            <w:r w:rsidRPr="00F57B18">
              <w:rPr>
                <w:rFonts w:ascii="Arial" w:hAnsi="Arial" w:cs="Arial"/>
                <w:sz w:val="20"/>
                <w:szCs w:val="20"/>
              </w:rPr>
              <w:t>Goal</w:t>
            </w:r>
          </w:p>
        </w:tc>
        <w:tc>
          <w:tcPr>
            <w:tcW w:w="0" w:type="auto"/>
            <w:tcBorders>
              <w:top w:val="nil"/>
              <w:left w:val="nil"/>
              <w:bottom w:val="nil"/>
              <w:right w:val="nil"/>
            </w:tcBorders>
            <w:shd w:val="clear" w:color="auto" w:fill="000000" w:themeFill="text1"/>
            <w:noWrap/>
            <w:hideMark/>
          </w:tcPr>
          <w:p w14:paraId="12AD5189" w14:textId="5227845A" w:rsidR="00F57B18" w:rsidRPr="00F57B18" w:rsidRDefault="00F57B18">
            <w:pPr>
              <w:rPr>
                <w:rFonts w:ascii="Arial" w:hAnsi="Arial" w:cs="Arial"/>
                <w:sz w:val="20"/>
                <w:szCs w:val="20"/>
              </w:rPr>
            </w:pPr>
            <w:r w:rsidRPr="00F57B18">
              <w:rPr>
                <w:rFonts w:ascii="Arial" w:hAnsi="Arial" w:cs="Arial"/>
                <w:sz w:val="20"/>
                <w:szCs w:val="20"/>
              </w:rPr>
              <w:t>Total Projects</w:t>
            </w:r>
          </w:p>
        </w:tc>
        <w:tc>
          <w:tcPr>
            <w:tcW w:w="0" w:type="auto"/>
            <w:tcBorders>
              <w:top w:val="nil"/>
              <w:left w:val="nil"/>
              <w:bottom w:val="nil"/>
              <w:right w:val="nil"/>
            </w:tcBorders>
            <w:shd w:val="clear" w:color="auto" w:fill="000000" w:themeFill="text1"/>
            <w:noWrap/>
            <w:hideMark/>
          </w:tcPr>
          <w:p w14:paraId="1E1DB4B0" w14:textId="2A9757A8" w:rsidR="00F57B18" w:rsidRPr="00F57B18" w:rsidRDefault="00F57B18">
            <w:pPr>
              <w:rPr>
                <w:rFonts w:ascii="Arial" w:hAnsi="Arial" w:cs="Arial"/>
                <w:sz w:val="20"/>
                <w:szCs w:val="20"/>
              </w:rPr>
            </w:pPr>
            <w:r w:rsidRPr="00F57B18">
              <w:rPr>
                <w:rFonts w:ascii="Arial" w:hAnsi="Arial" w:cs="Arial"/>
                <w:sz w:val="20"/>
                <w:szCs w:val="20"/>
              </w:rPr>
              <w:t>Successful</w:t>
            </w:r>
          </w:p>
        </w:tc>
        <w:tc>
          <w:tcPr>
            <w:tcW w:w="0" w:type="auto"/>
            <w:tcBorders>
              <w:top w:val="nil"/>
              <w:left w:val="nil"/>
              <w:bottom w:val="nil"/>
              <w:right w:val="nil"/>
            </w:tcBorders>
            <w:shd w:val="clear" w:color="auto" w:fill="000000" w:themeFill="text1"/>
            <w:noWrap/>
            <w:hideMark/>
          </w:tcPr>
          <w:p w14:paraId="74A97516" w14:textId="3C3783D5" w:rsidR="00F57B18" w:rsidRPr="00F57B18" w:rsidRDefault="00F57B18">
            <w:pPr>
              <w:rPr>
                <w:rFonts w:ascii="Arial" w:hAnsi="Arial" w:cs="Arial"/>
                <w:sz w:val="20"/>
                <w:szCs w:val="20"/>
              </w:rPr>
            </w:pPr>
            <w:r w:rsidRPr="00F57B18">
              <w:rPr>
                <w:rFonts w:ascii="Arial" w:hAnsi="Arial" w:cs="Arial"/>
                <w:sz w:val="20"/>
                <w:szCs w:val="20"/>
              </w:rPr>
              <w:t xml:space="preserve"> Failed</w:t>
            </w:r>
          </w:p>
        </w:tc>
        <w:tc>
          <w:tcPr>
            <w:tcW w:w="0" w:type="auto"/>
            <w:tcBorders>
              <w:top w:val="nil"/>
              <w:left w:val="nil"/>
              <w:bottom w:val="nil"/>
              <w:right w:val="nil"/>
            </w:tcBorders>
            <w:shd w:val="clear" w:color="auto" w:fill="000000" w:themeFill="text1"/>
            <w:noWrap/>
            <w:hideMark/>
          </w:tcPr>
          <w:p w14:paraId="23FDD331" w14:textId="51597DFA" w:rsidR="00F57B18" w:rsidRPr="00F57B18" w:rsidRDefault="00F57B18">
            <w:pPr>
              <w:rPr>
                <w:rFonts w:ascii="Arial" w:hAnsi="Arial" w:cs="Arial"/>
                <w:sz w:val="20"/>
                <w:szCs w:val="20"/>
              </w:rPr>
            </w:pPr>
            <w:r w:rsidRPr="00F57B18">
              <w:rPr>
                <w:rFonts w:ascii="Arial" w:hAnsi="Arial" w:cs="Arial"/>
                <w:sz w:val="20"/>
                <w:szCs w:val="20"/>
              </w:rPr>
              <w:t>Canceled</w:t>
            </w:r>
          </w:p>
        </w:tc>
        <w:tc>
          <w:tcPr>
            <w:tcW w:w="0" w:type="auto"/>
            <w:tcBorders>
              <w:top w:val="nil"/>
              <w:left w:val="nil"/>
              <w:bottom w:val="nil"/>
              <w:right w:val="nil"/>
            </w:tcBorders>
            <w:shd w:val="clear" w:color="auto" w:fill="000000" w:themeFill="text1"/>
            <w:noWrap/>
            <w:hideMark/>
          </w:tcPr>
          <w:p w14:paraId="5B9BBE90" w14:textId="52F98C1A" w:rsidR="00F57B18" w:rsidRPr="00F57B18" w:rsidRDefault="00F57B18">
            <w:pPr>
              <w:rPr>
                <w:rFonts w:ascii="Arial" w:hAnsi="Arial" w:cs="Arial"/>
                <w:sz w:val="20"/>
                <w:szCs w:val="20"/>
              </w:rPr>
            </w:pPr>
            <w:r w:rsidRPr="00F57B18">
              <w:rPr>
                <w:rFonts w:ascii="Arial" w:hAnsi="Arial" w:cs="Arial"/>
                <w:sz w:val="20"/>
                <w:szCs w:val="20"/>
              </w:rPr>
              <w:t xml:space="preserve">% </w:t>
            </w:r>
            <w:r w:rsidRPr="00F57B18">
              <w:rPr>
                <w:rFonts w:ascii="Arial" w:hAnsi="Arial" w:cs="Arial"/>
                <w:sz w:val="20"/>
                <w:szCs w:val="20"/>
              </w:rPr>
              <w:t>Successful</w:t>
            </w:r>
          </w:p>
        </w:tc>
        <w:tc>
          <w:tcPr>
            <w:tcW w:w="0" w:type="auto"/>
            <w:tcBorders>
              <w:top w:val="nil"/>
              <w:left w:val="nil"/>
              <w:bottom w:val="nil"/>
              <w:right w:val="nil"/>
            </w:tcBorders>
            <w:shd w:val="clear" w:color="auto" w:fill="000000" w:themeFill="text1"/>
            <w:noWrap/>
            <w:hideMark/>
          </w:tcPr>
          <w:p w14:paraId="00EA8A42" w14:textId="4464F716" w:rsidR="00F57B18" w:rsidRPr="00F57B18" w:rsidRDefault="00F57B18">
            <w:pPr>
              <w:rPr>
                <w:rFonts w:ascii="Arial" w:hAnsi="Arial" w:cs="Arial"/>
                <w:sz w:val="20"/>
                <w:szCs w:val="20"/>
              </w:rPr>
            </w:pPr>
            <w:r w:rsidRPr="00F57B18">
              <w:rPr>
                <w:rFonts w:ascii="Arial" w:hAnsi="Arial" w:cs="Arial"/>
                <w:sz w:val="20"/>
                <w:szCs w:val="20"/>
              </w:rPr>
              <w:t xml:space="preserve">% </w:t>
            </w:r>
            <w:r w:rsidRPr="00F57B18">
              <w:rPr>
                <w:rFonts w:ascii="Arial" w:hAnsi="Arial" w:cs="Arial"/>
                <w:sz w:val="20"/>
                <w:szCs w:val="20"/>
              </w:rPr>
              <w:t>Failed</w:t>
            </w:r>
          </w:p>
        </w:tc>
        <w:tc>
          <w:tcPr>
            <w:tcW w:w="0" w:type="auto"/>
            <w:tcBorders>
              <w:top w:val="nil"/>
              <w:left w:val="nil"/>
              <w:bottom w:val="nil"/>
              <w:right w:val="nil"/>
            </w:tcBorders>
            <w:shd w:val="clear" w:color="auto" w:fill="000000" w:themeFill="text1"/>
            <w:noWrap/>
            <w:hideMark/>
          </w:tcPr>
          <w:p w14:paraId="40C6C7B0" w14:textId="04810BCF" w:rsidR="00F57B18" w:rsidRPr="00F57B18" w:rsidRDefault="00F57B18">
            <w:pPr>
              <w:rPr>
                <w:rFonts w:ascii="Arial" w:hAnsi="Arial" w:cs="Arial"/>
                <w:sz w:val="20"/>
                <w:szCs w:val="20"/>
              </w:rPr>
            </w:pPr>
            <w:r w:rsidRPr="00F57B18">
              <w:rPr>
                <w:rFonts w:ascii="Arial" w:hAnsi="Arial" w:cs="Arial"/>
                <w:sz w:val="20"/>
                <w:szCs w:val="20"/>
              </w:rPr>
              <w:t xml:space="preserve">% </w:t>
            </w:r>
            <w:r w:rsidRPr="00F57B18">
              <w:rPr>
                <w:rFonts w:ascii="Arial" w:hAnsi="Arial" w:cs="Arial"/>
                <w:sz w:val="20"/>
                <w:szCs w:val="20"/>
              </w:rPr>
              <w:t>Canceled</w:t>
            </w:r>
          </w:p>
        </w:tc>
      </w:tr>
      <w:tr w:rsidR="003C27E0" w:rsidRPr="00F57B18" w14:paraId="40AFDDA7" w14:textId="77777777" w:rsidTr="003C27E0">
        <w:trPr>
          <w:trHeight w:val="320"/>
        </w:trPr>
        <w:tc>
          <w:tcPr>
            <w:tcW w:w="0" w:type="auto"/>
            <w:tcBorders>
              <w:top w:val="nil"/>
            </w:tcBorders>
            <w:noWrap/>
            <w:hideMark/>
          </w:tcPr>
          <w:p w14:paraId="62956FA4" w14:textId="77777777" w:rsidR="00F57B18" w:rsidRPr="003C27E0" w:rsidRDefault="00F57B18">
            <w:pPr>
              <w:rPr>
                <w:rFonts w:ascii="Arial" w:hAnsi="Arial" w:cs="Arial"/>
                <w:sz w:val="18"/>
                <w:szCs w:val="18"/>
              </w:rPr>
            </w:pPr>
            <w:r w:rsidRPr="003C27E0">
              <w:rPr>
                <w:rFonts w:ascii="Arial" w:hAnsi="Arial" w:cs="Arial"/>
                <w:sz w:val="18"/>
                <w:szCs w:val="18"/>
              </w:rPr>
              <w:t>&lt;1000</w:t>
            </w:r>
          </w:p>
        </w:tc>
        <w:tc>
          <w:tcPr>
            <w:tcW w:w="0" w:type="auto"/>
            <w:tcBorders>
              <w:top w:val="nil"/>
            </w:tcBorders>
            <w:noWrap/>
            <w:hideMark/>
          </w:tcPr>
          <w:p w14:paraId="19E8CD9B"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51</w:t>
            </w:r>
          </w:p>
        </w:tc>
        <w:tc>
          <w:tcPr>
            <w:tcW w:w="0" w:type="auto"/>
            <w:tcBorders>
              <w:top w:val="nil"/>
            </w:tcBorders>
            <w:noWrap/>
            <w:hideMark/>
          </w:tcPr>
          <w:p w14:paraId="132483C9"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30</w:t>
            </w:r>
          </w:p>
        </w:tc>
        <w:tc>
          <w:tcPr>
            <w:tcW w:w="0" w:type="auto"/>
            <w:tcBorders>
              <w:top w:val="nil"/>
            </w:tcBorders>
            <w:noWrap/>
            <w:hideMark/>
          </w:tcPr>
          <w:p w14:paraId="7AE06CA4"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20</w:t>
            </w:r>
          </w:p>
        </w:tc>
        <w:tc>
          <w:tcPr>
            <w:tcW w:w="0" w:type="auto"/>
            <w:tcBorders>
              <w:top w:val="nil"/>
            </w:tcBorders>
            <w:noWrap/>
            <w:hideMark/>
          </w:tcPr>
          <w:p w14:paraId="0EB4B961"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w:t>
            </w:r>
          </w:p>
        </w:tc>
        <w:tc>
          <w:tcPr>
            <w:tcW w:w="0" w:type="auto"/>
            <w:tcBorders>
              <w:top w:val="nil"/>
            </w:tcBorders>
            <w:noWrap/>
            <w:hideMark/>
          </w:tcPr>
          <w:p w14:paraId="463883FF"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59%</w:t>
            </w:r>
          </w:p>
        </w:tc>
        <w:tc>
          <w:tcPr>
            <w:tcW w:w="0" w:type="auto"/>
            <w:tcBorders>
              <w:top w:val="nil"/>
            </w:tcBorders>
            <w:noWrap/>
            <w:hideMark/>
          </w:tcPr>
          <w:p w14:paraId="012CAB9A"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39%</w:t>
            </w:r>
          </w:p>
        </w:tc>
        <w:tc>
          <w:tcPr>
            <w:tcW w:w="0" w:type="auto"/>
            <w:tcBorders>
              <w:top w:val="nil"/>
            </w:tcBorders>
            <w:noWrap/>
            <w:hideMark/>
          </w:tcPr>
          <w:p w14:paraId="29BFDDE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w:t>
            </w:r>
          </w:p>
        </w:tc>
      </w:tr>
      <w:tr w:rsidR="003C27E0" w:rsidRPr="00F57B18" w14:paraId="348F5A54" w14:textId="77777777" w:rsidTr="003C27E0">
        <w:trPr>
          <w:trHeight w:val="320"/>
        </w:trPr>
        <w:tc>
          <w:tcPr>
            <w:tcW w:w="0" w:type="auto"/>
            <w:noWrap/>
            <w:hideMark/>
          </w:tcPr>
          <w:p w14:paraId="35D717A3" w14:textId="77777777" w:rsidR="00F57B18" w:rsidRPr="003C27E0" w:rsidRDefault="00F57B18">
            <w:pPr>
              <w:rPr>
                <w:rFonts w:ascii="Arial" w:hAnsi="Arial" w:cs="Arial"/>
                <w:sz w:val="18"/>
                <w:szCs w:val="18"/>
              </w:rPr>
            </w:pPr>
            <w:r w:rsidRPr="003C27E0">
              <w:rPr>
                <w:rFonts w:ascii="Arial" w:hAnsi="Arial" w:cs="Arial"/>
                <w:sz w:val="18"/>
                <w:szCs w:val="18"/>
              </w:rPr>
              <w:t xml:space="preserve">1000 to 4999      </w:t>
            </w:r>
          </w:p>
        </w:tc>
        <w:tc>
          <w:tcPr>
            <w:tcW w:w="0" w:type="auto"/>
            <w:noWrap/>
            <w:hideMark/>
          </w:tcPr>
          <w:p w14:paraId="17B2A0C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234</w:t>
            </w:r>
          </w:p>
        </w:tc>
        <w:tc>
          <w:tcPr>
            <w:tcW w:w="0" w:type="auto"/>
            <w:noWrap/>
            <w:hideMark/>
          </w:tcPr>
          <w:p w14:paraId="3ACEE6F5"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191</w:t>
            </w:r>
          </w:p>
        </w:tc>
        <w:tc>
          <w:tcPr>
            <w:tcW w:w="0" w:type="auto"/>
            <w:noWrap/>
            <w:hideMark/>
          </w:tcPr>
          <w:p w14:paraId="2E7F17BA"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38</w:t>
            </w:r>
          </w:p>
        </w:tc>
        <w:tc>
          <w:tcPr>
            <w:tcW w:w="0" w:type="auto"/>
            <w:noWrap/>
            <w:hideMark/>
          </w:tcPr>
          <w:p w14:paraId="5CBE026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w:t>
            </w:r>
          </w:p>
        </w:tc>
        <w:tc>
          <w:tcPr>
            <w:tcW w:w="0" w:type="auto"/>
            <w:noWrap/>
            <w:hideMark/>
          </w:tcPr>
          <w:p w14:paraId="006FF0D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82%</w:t>
            </w:r>
          </w:p>
        </w:tc>
        <w:tc>
          <w:tcPr>
            <w:tcW w:w="0" w:type="auto"/>
            <w:noWrap/>
            <w:hideMark/>
          </w:tcPr>
          <w:p w14:paraId="6177D28E"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16%</w:t>
            </w:r>
          </w:p>
        </w:tc>
        <w:tc>
          <w:tcPr>
            <w:tcW w:w="0" w:type="auto"/>
            <w:noWrap/>
            <w:hideMark/>
          </w:tcPr>
          <w:p w14:paraId="4CD578F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w:t>
            </w:r>
          </w:p>
        </w:tc>
      </w:tr>
      <w:tr w:rsidR="003C27E0" w:rsidRPr="00F57B18" w14:paraId="16EE3761" w14:textId="77777777" w:rsidTr="003C27E0">
        <w:trPr>
          <w:trHeight w:val="320"/>
        </w:trPr>
        <w:tc>
          <w:tcPr>
            <w:tcW w:w="0" w:type="auto"/>
            <w:noWrap/>
            <w:hideMark/>
          </w:tcPr>
          <w:p w14:paraId="7A8908E0" w14:textId="77777777" w:rsidR="00F57B18" w:rsidRPr="003C27E0" w:rsidRDefault="00F57B18">
            <w:pPr>
              <w:rPr>
                <w:rFonts w:ascii="Arial" w:hAnsi="Arial" w:cs="Arial"/>
                <w:sz w:val="18"/>
                <w:szCs w:val="18"/>
              </w:rPr>
            </w:pPr>
            <w:r w:rsidRPr="003C27E0">
              <w:rPr>
                <w:rFonts w:ascii="Arial" w:hAnsi="Arial" w:cs="Arial"/>
                <w:sz w:val="18"/>
                <w:szCs w:val="18"/>
              </w:rPr>
              <w:t>5000 to 9999</w:t>
            </w:r>
          </w:p>
        </w:tc>
        <w:tc>
          <w:tcPr>
            <w:tcW w:w="0" w:type="auto"/>
            <w:noWrap/>
            <w:hideMark/>
          </w:tcPr>
          <w:p w14:paraId="76267AB3"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317</w:t>
            </w:r>
          </w:p>
        </w:tc>
        <w:tc>
          <w:tcPr>
            <w:tcW w:w="0" w:type="auto"/>
            <w:noWrap/>
            <w:hideMark/>
          </w:tcPr>
          <w:p w14:paraId="3D3E1280"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164</w:t>
            </w:r>
          </w:p>
        </w:tc>
        <w:tc>
          <w:tcPr>
            <w:tcW w:w="0" w:type="auto"/>
            <w:noWrap/>
            <w:hideMark/>
          </w:tcPr>
          <w:p w14:paraId="11587A84"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126</w:t>
            </w:r>
          </w:p>
        </w:tc>
        <w:tc>
          <w:tcPr>
            <w:tcW w:w="0" w:type="auto"/>
            <w:noWrap/>
            <w:hideMark/>
          </w:tcPr>
          <w:p w14:paraId="0A60CE6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25</w:t>
            </w:r>
          </w:p>
        </w:tc>
        <w:tc>
          <w:tcPr>
            <w:tcW w:w="0" w:type="auto"/>
            <w:noWrap/>
            <w:hideMark/>
          </w:tcPr>
          <w:p w14:paraId="3EDB24F4"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52%</w:t>
            </w:r>
          </w:p>
        </w:tc>
        <w:tc>
          <w:tcPr>
            <w:tcW w:w="0" w:type="auto"/>
            <w:noWrap/>
            <w:hideMark/>
          </w:tcPr>
          <w:p w14:paraId="78256ED1"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40%</w:t>
            </w:r>
          </w:p>
        </w:tc>
        <w:tc>
          <w:tcPr>
            <w:tcW w:w="0" w:type="auto"/>
            <w:noWrap/>
            <w:hideMark/>
          </w:tcPr>
          <w:p w14:paraId="4F19416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8%</w:t>
            </w:r>
          </w:p>
        </w:tc>
      </w:tr>
      <w:tr w:rsidR="003C27E0" w:rsidRPr="00F57B18" w14:paraId="13DFB54C" w14:textId="77777777" w:rsidTr="003C27E0">
        <w:trPr>
          <w:trHeight w:val="320"/>
        </w:trPr>
        <w:tc>
          <w:tcPr>
            <w:tcW w:w="0" w:type="auto"/>
            <w:noWrap/>
            <w:hideMark/>
          </w:tcPr>
          <w:p w14:paraId="4BCF317F" w14:textId="77777777" w:rsidR="00F57B18" w:rsidRPr="003C27E0" w:rsidRDefault="00F57B18">
            <w:pPr>
              <w:rPr>
                <w:rFonts w:ascii="Arial" w:hAnsi="Arial" w:cs="Arial"/>
                <w:sz w:val="18"/>
                <w:szCs w:val="18"/>
              </w:rPr>
            </w:pPr>
            <w:r w:rsidRPr="003C27E0">
              <w:rPr>
                <w:rFonts w:ascii="Arial" w:hAnsi="Arial" w:cs="Arial"/>
                <w:sz w:val="18"/>
                <w:szCs w:val="18"/>
              </w:rPr>
              <w:t>10000 to 14999</w:t>
            </w:r>
          </w:p>
        </w:tc>
        <w:tc>
          <w:tcPr>
            <w:tcW w:w="0" w:type="auto"/>
            <w:noWrap/>
            <w:hideMark/>
          </w:tcPr>
          <w:p w14:paraId="66AAA3E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9</w:t>
            </w:r>
          </w:p>
        </w:tc>
        <w:tc>
          <w:tcPr>
            <w:tcW w:w="0" w:type="auto"/>
            <w:noWrap/>
            <w:hideMark/>
          </w:tcPr>
          <w:p w14:paraId="3B5E11A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4</w:t>
            </w:r>
          </w:p>
        </w:tc>
        <w:tc>
          <w:tcPr>
            <w:tcW w:w="0" w:type="auto"/>
            <w:noWrap/>
            <w:hideMark/>
          </w:tcPr>
          <w:p w14:paraId="22D74959"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w:t>
            </w:r>
          </w:p>
        </w:tc>
        <w:tc>
          <w:tcPr>
            <w:tcW w:w="0" w:type="auto"/>
            <w:noWrap/>
            <w:hideMark/>
          </w:tcPr>
          <w:p w14:paraId="38259879"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15573C31"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44%</w:t>
            </w:r>
          </w:p>
        </w:tc>
        <w:tc>
          <w:tcPr>
            <w:tcW w:w="0" w:type="auto"/>
            <w:noWrap/>
            <w:hideMark/>
          </w:tcPr>
          <w:p w14:paraId="4EACDC4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56%</w:t>
            </w:r>
          </w:p>
        </w:tc>
        <w:tc>
          <w:tcPr>
            <w:tcW w:w="0" w:type="auto"/>
            <w:noWrap/>
            <w:hideMark/>
          </w:tcPr>
          <w:p w14:paraId="588C27C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2FA31E13" w14:textId="77777777" w:rsidTr="003C27E0">
        <w:trPr>
          <w:trHeight w:val="320"/>
        </w:trPr>
        <w:tc>
          <w:tcPr>
            <w:tcW w:w="0" w:type="auto"/>
            <w:noWrap/>
            <w:hideMark/>
          </w:tcPr>
          <w:p w14:paraId="083AE593" w14:textId="77777777" w:rsidR="00F57B18" w:rsidRPr="003C27E0" w:rsidRDefault="00F57B18">
            <w:pPr>
              <w:rPr>
                <w:rFonts w:ascii="Arial" w:hAnsi="Arial" w:cs="Arial"/>
                <w:sz w:val="18"/>
                <w:szCs w:val="18"/>
              </w:rPr>
            </w:pPr>
            <w:r w:rsidRPr="003C27E0">
              <w:rPr>
                <w:rFonts w:ascii="Arial" w:hAnsi="Arial" w:cs="Arial"/>
                <w:sz w:val="18"/>
                <w:szCs w:val="18"/>
              </w:rPr>
              <w:t>15000 to 19999</w:t>
            </w:r>
          </w:p>
        </w:tc>
        <w:tc>
          <w:tcPr>
            <w:tcW w:w="0" w:type="auto"/>
            <w:noWrap/>
            <w:hideMark/>
          </w:tcPr>
          <w:p w14:paraId="5685FE6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10</w:t>
            </w:r>
          </w:p>
        </w:tc>
        <w:tc>
          <w:tcPr>
            <w:tcW w:w="0" w:type="auto"/>
            <w:noWrap/>
            <w:hideMark/>
          </w:tcPr>
          <w:p w14:paraId="6D7CE877"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10</w:t>
            </w:r>
          </w:p>
        </w:tc>
        <w:tc>
          <w:tcPr>
            <w:tcW w:w="0" w:type="auto"/>
            <w:noWrap/>
            <w:hideMark/>
          </w:tcPr>
          <w:p w14:paraId="6BEF0887"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4C270114"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0F61349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100%</w:t>
            </w:r>
          </w:p>
        </w:tc>
        <w:tc>
          <w:tcPr>
            <w:tcW w:w="0" w:type="auto"/>
            <w:noWrap/>
            <w:hideMark/>
          </w:tcPr>
          <w:p w14:paraId="1F2BFE1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75BEB14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23F03DD1" w14:textId="77777777" w:rsidTr="003C27E0">
        <w:trPr>
          <w:trHeight w:val="320"/>
        </w:trPr>
        <w:tc>
          <w:tcPr>
            <w:tcW w:w="0" w:type="auto"/>
            <w:noWrap/>
            <w:hideMark/>
          </w:tcPr>
          <w:p w14:paraId="1FC5845D" w14:textId="77777777" w:rsidR="00F57B18" w:rsidRPr="003C27E0" w:rsidRDefault="00F57B18">
            <w:pPr>
              <w:rPr>
                <w:rFonts w:ascii="Arial" w:hAnsi="Arial" w:cs="Arial"/>
                <w:sz w:val="18"/>
                <w:szCs w:val="18"/>
              </w:rPr>
            </w:pPr>
            <w:r w:rsidRPr="003C27E0">
              <w:rPr>
                <w:rFonts w:ascii="Arial" w:hAnsi="Arial" w:cs="Arial"/>
                <w:sz w:val="18"/>
                <w:szCs w:val="18"/>
              </w:rPr>
              <w:t>20000 to 24999</w:t>
            </w:r>
          </w:p>
        </w:tc>
        <w:tc>
          <w:tcPr>
            <w:tcW w:w="0" w:type="auto"/>
            <w:noWrap/>
            <w:hideMark/>
          </w:tcPr>
          <w:p w14:paraId="7773A5DE"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w:t>
            </w:r>
          </w:p>
        </w:tc>
        <w:tc>
          <w:tcPr>
            <w:tcW w:w="0" w:type="auto"/>
            <w:noWrap/>
            <w:hideMark/>
          </w:tcPr>
          <w:p w14:paraId="2AAF3DCB"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w:t>
            </w:r>
          </w:p>
        </w:tc>
        <w:tc>
          <w:tcPr>
            <w:tcW w:w="0" w:type="auto"/>
            <w:noWrap/>
            <w:hideMark/>
          </w:tcPr>
          <w:p w14:paraId="1FE2703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4CF87F5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7439383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100%</w:t>
            </w:r>
          </w:p>
        </w:tc>
        <w:tc>
          <w:tcPr>
            <w:tcW w:w="0" w:type="auto"/>
            <w:noWrap/>
            <w:hideMark/>
          </w:tcPr>
          <w:p w14:paraId="522F78F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0241734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2650B7E9" w14:textId="77777777" w:rsidTr="003C27E0">
        <w:trPr>
          <w:trHeight w:val="320"/>
        </w:trPr>
        <w:tc>
          <w:tcPr>
            <w:tcW w:w="0" w:type="auto"/>
            <w:noWrap/>
            <w:hideMark/>
          </w:tcPr>
          <w:p w14:paraId="5280384B" w14:textId="77777777" w:rsidR="00F57B18" w:rsidRPr="003C27E0" w:rsidRDefault="00F57B18">
            <w:pPr>
              <w:rPr>
                <w:rFonts w:ascii="Arial" w:hAnsi="Arial" w:cs="Arial"/>
                <w:sz w:val="18"/>
                <w:szCs w:val="18"/>
              </w:rPr>
            </w:pPr>
            <w:r w:rsidRPr="003C27E0">
              <w:rPr>
                <w:rFonts w:ascii="Arial" w:hAnsi="Arial" w:cs="Arial"/>
                <w:sz w:val="18"/>
                <w:szCs w:val="18"/>
              </w:rPr>
              <w:t>25000 to 29999</w:t>
            </w:r>
          </w:p>
        </w:tc>
        <w:tc>
          <w:tcPr>
            <w:tcW w:w="0" w:type="auto"/>
            <w:noWrap/>
            <w:hideMark/>
          </w:tcPr>
          <w:p w14:paraId="1BFC7D06"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14</w:t>
            </w:r>
          </w:p>
        </w:tc>
        <w:tc>
          <w:tcPr>
            <w:tcW w:w="0" w:type="auto"/>
            <w:noWrap/>
            <w:hideMark/>
          </w:tcPr>
          <w:p w14:paraId="4055189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11</w:t>
            </w:r>
          </w:p>
        </w:tc>
        <w:tc>
          <w:tcPr>
            <w:tcW w:w="0" w:type="auto"/>
            <w:noWrap/>
            <w:hideMark/>
          </w:tcPr>
          <w:p w14:paraId="1B9DF2D0"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w:t>
            </w:r>
          </w:p>
        </w:tc>
        <w:tc>
          <w:tcPr>
            <w:tcW w:w="0" w:type="auto"/>
            <w:noWrap/>
            <w:hideMark/>
          </w:tcPr>
          <w:p w14:paraId="1578DCBF"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58B9544A"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79%</w:t>
            </w:r>
          </w:p>
        </w:tc>
        <w:tc>
          <w:tcPr>
            <w:tcW w:w="0" w:type="auto"/>
            <w:noWrap/>
            <w:hideMark/>
          </w:tcPr>
          <w:p w14:paraId="58E390F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21%</w:t>
            </w:r>
          </w:p>
        </w:tc>
        <w:tc>
          <w:tcPr>
            <w:tcW w:w="0" w:type="auto"/>
            <w:noWrap/>
            <w:hideMark/>
          </w:tcPr>
          <w:p w14:paraId="2D3D5E20"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764819F9" w14:textId="77777777" w:rsidTr="003C27E0">
        <w:trPr>
          <w:trHeight w:val="320"/>
        </w:trPr>
        <w:tc>
          <w:tcPr>
            <w:tcW w:w="0" w:type="auto"/>
            <w:noWrap/>
            <w:hideMark/>
          </w:tcPr>
          <w:p w14:paraId="01AC27A9" w14:textId="77777777" w:rsidR="00F57B18" w:rsidRPr="003C27E0" w:rsidRDefault="00F57B18">
            <w:pPr>
              <w:rPr>
                <w:rFonts w:ascii="Arial" w:hAnsi="Arial" w:cs="Arial"/>
                <w:sz w:val="18"/>
                <w:szCs w:val="18"/>
              </w:rPr>
            </w:pPr>
            <w:r w:rsidRPr="003C27E0">
              <w:rPr>
                <w:rFonts w:ascii="Arial" w:hAnsi="Arial" w:cs="Arial"/>
                <w:sz w:val="18"/>
                <w:szCs w:val="18"/>
              </w:rPr>
              <w:t>30000 to 34999</w:t>
            </w:r>
          </w:p>
        </w:tc>
        <w:tc>
          <w:tcPr>
            <w:tcW w:w="0" w:type="auto"/>
            <w:noWrap/>
            <w:hideMark/>
          </w:tcPr>
          <w:p w14:paraId="447A32D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w:t>
            </w:r>
          </w:p>
        </w:tc>
        <w:tc>
          <w:tcPr>
            <w:tcW w:w="0" w:type="auto"/>
            <w:noWrap/>
            <w:hideMark/>
          </w:tcPr>
          <w:p w14:paraId="1EFD680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w:t>
            </w:r>
          </w:p>
        </w:tc>
        <w:tc>
          <w:tcPr>
            <w:tcW w:w="0" w:type="auto"/>
            <w:noWrap/>
            <w:hideMark/>
          </w:tcPr>
          <w:p w14:paraId="7A8BCF8B"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60A5F7E3"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5A23AAF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100%</w:t>
            </w:r>
          </w:p>
        </w:tc>
        <w:tc>
          <w:tcPr>
            <w:tcW w:w="0" w:type="auto"/>
            <w:noWrap/>
            <w:hideMark/>
          </w:tcPr>
          <w:p w14:paraId="2563787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74121F4F"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0EE1E524" w14:textId="77777777" w:rsidTr="003C27E0">
        <w:trPr>
          <w:trHeight w:val="320"/>
        </w:trPr>
        <w:tc>
          <w:tcPr>
            <w:tcW w:w="0" w:type="auto"/>
            <w:noWrap/>
            <w:hideMark/>
          </w:tcPr>
          <w:p w14:paraId="47196476" w14:textId="77777777" w:rsidR="00F57B18" w:rsidRPr="003C27E0" w:rsidRDefault="00F57B18">
            <w:pPr>
              <w:rPr>
                <w:rFonts w:ascii="Arial" w:hAnsi="Arial" w:cs="Arial"/>
                <w:sz w:val="18"/>
                <w:szCs w:val="18"/>
              </w:rPr>
            </w:pPr>
            <w:r w:rsidRPr="003C27E0">
              <w:rPr>
                <w:rFonts w:ascii="Arial" w:hAnsi="Arial" w:cs="Arial"/>
                <w:sz w:val="18"/>
                <w:szCs w:val="18"/>
              </w:rPr>
              <w:t>35000 to 39999</w:t>
            </w:r>
          </w:p>
        </w:tc>
        <w:tc>
          <w:tcPr>
            <w:tcW w:w="0" w:type="auto"/>
            <w:noWrap/>
            <w:hideMark/>
          </w:tcPr>
          <w:p w14:paraId="342FD836"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12</w:t>
            </w:r>
          </w:p>
        </w:tc>
        <w:tc>
          <w:tcPr>
            <w:tcW w:w="0" w:type="auto"/>
            <w:noWrap/>
            <w:hideMark/>
          </w:tcPr>
          <w:p w14:paraId="2A866530"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8</w:t>
            </w:r>
          </w:p>
        </w:tc>
        <w:tc>
          <w:tcPr>
            <w:tcW w:w="0" w:type="auto"/>
            <w:noWrap/>
            <w:hideMark/>
          </w:tcPr>
          <w:p w14:paraId="00E4A68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w:t>
            </w:r>
          </w:p>
        </w:tc>
        <w:tc>
          <w:tcPr>
            <w:tcW w:w="0" w:type="auto"/>
            <w:noWrap/>
            <w:hideMark/>
          </w:tcPr>
          <w:p w14:paraId="5ED626F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w:t>
            </w:r>
          </w:p>
        </w:tc>
        <w:tc>
          <w:tcPr>
            <w:tcW w:w="0" w:type="auto"/>
            <w:noWrap/>
            <w:hideMark/>
          </w:tcPr>
          <w:p w14:paraId="58A1D754"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67%</w:t>
            </w:r>
          </w:p>
        </w:tc>
        <w:tc>
          <w:tcPr>
            <w:tcW w:w="0" w:type="auto"/>
            <w:noWrap/>
            <w:hideMark/>
          </w:tcPr>
          <w:p w14:paraId="53CE91A6"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25%</w:t>
            </w:r>
          </w:p>
        </w:tc>
        <w:tc>
          <w:tcPr>
            <w:tcW w:w="0" w:type="auto"/>
            <w:noWrap/>
            <w:hideMark/>
          </w:tcPr>
          <w:p w14:paraId="36B668DE"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8%</w:t>
            </w:r>
          </w:p>
        </w:tc>
      </w:tr>
      <w:tr w:rsidR="003C27E0" w:rsidRPr="00F57B18" w14:paraId="27F0B728" w14:textId="77777777" w:rsidTr="003C27E0">
        <w:trPr>
          <w:trHeight w:val="320"/>
        </w:trPr>
        <w:tc>
          <w:tcPr>
            <w:tcW w:w="0" w:type="auto"/>
            <w:noWrap/>
            <w:hideMark/>
          </w:tcPr>
          <w:p w14:paraId="0B205D6A" w14:textId="77777777" w:rsidR="00F57B18" w:rsidRPr="003C27E0" w:rsidRDefault="00F57B18">
            <w:pPr>
              <w:rPr>
                <w:rFonts w:ascii="Arial" w:hAnsi="Arial" w:cs="Arial"/>
                <w:sz w:val="18"/>
                <w:szCs w:val="18"/>
              </w:rPr>
            </w:pPr>
            <w:r w:rsidRPr="003C27E0">
              <w:rPr>
                <w:rFonts w:ascii="Arial" w:hAnsi="Arial" w:cs="Arial"/>
                <w:sz w:val="18"/>
                <w:szCs w:val="18"/>
              </w:rPr>
              <w:t>40000 to 44999</w:t>
            </w:r>
          </w:p>
        </w:tc>
        <w:tc>
          <w:tcPr>
            <w:tcW w:w="0" w:type="auto"/>
            <w:noWrap/>
            <w:hideMark/>
          </w:tcPr>
          <w:p w14:paraId="73AC5BF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15</w:t>
            </w:r>
          </w:p>
        </w:tc>
        <w:tc>
          <w:tcPr>
            <w:tcW w:w="0" w:type="auto"/>
            <w:noWrap/>
            <w:hideMark/>
          </w:tcPr>
          <w:p w14:paraId="3651C065"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11</w:t>
            </w:r>
          </w:p>
        </w:tc>
        <w:tc>
          <w:tcPr>
            <w:tcW w:w="0" w:type="auto"/>
            <w:noWrap/>
            <w:hideMark/>
          </w:tcPr>
          <w:p w14:paraId="794EA11A"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w:t>
            </w:r>
          </w:p>
        </w:tc>
        <w:tc>
          <w:tcPr>
            <w:tcW w:w="0" w:type="auto"/>
            <w:noWrap/>
            <w:hideMark/>
          </w:tcPr>
          <w:p w14:paraId="58876E69"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5EA397A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73%</w:t>
            </w:r>
          </w:p>
        </w:tc>
        <w:tc>
          <w:tcPr>
            <w:tcW w:w="0" w:type="auto"/>
            <w:noWrap/>
            <w:hideMark/>
          </w:tcPr>
          <w:p w14:paraId="44FE800B"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20%</w:t>
            </w:r>
          </w:p>
        </w:tc>
        <w:tc>
          <w:tcPr>
            <w:tcW w:w="0" w:type="auto"/>
            <w:noWrap/>
            <w:hideMark/>
          </w:tcPr>
          <w:p w14:paraId="728308A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1FF44235" w14:textId="77777777" w:rsidTr="003C27E0">
        <w:trPr>
          <w:trHeight w:val="320"/>
        </w:trPr>
        <w:tc>
          <w:tcPr>
            <w:tcW w:w="0" w:type="auto"/>
            <w:noWrap/>
            <w:hideMark/>
          </w:tcPr>
          <w:p w14:paraId="58AF38FF" w14:textId="77777777" w:rsidR="00F57B18" w:rsidRPr="003C27E0" w:rsidRDefault="00F57B18">
            <w:pPr>
              <w:rPr>
                <w:rFonts w:ascii="Arial" w:hAnsi="Arial" w:cs="Arial"/>
                <w:sz w:val="18"/>
                <w:szCs w:val="18"/>
              </w:rPr>
            </w:pPr>
            <w:r w:rsidRPr="003C27E0">
              <w:rPr>
                <w:rFonts w:ascii="Arial" w:hAnsi="Arial" w:cs="Arial"/>
                <w:sz w:val="18"/>
                <w:szCs w:val="18"/>
              </w:rPr>
              <w:t>45000 to 49999</w:t>
            </w:r>
          </w:p>
        </w:tc>
        <w:tc>
          <w:tcPr>
            <w:tcW w:w="0" w:type="auto"/>
            <w:noWrap/>
            <w:hideMark/>
          </w:tcPr>
          <w:p w14:paraId="552A62B5"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11</w:t>
            </w:r>
          </w:p>
        </w:tc>
        <w:tc>
          <w:tcPr>
            <w:tcW w:w="0" w:type="auto"/>
            <w:noWrap/>
            <w:hideMark/>
          </w:tcPr>
          <w:p w14:paraId="56198BF3"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8</w:t>
            </w:r>
          </w:p>
        </w:tc>
        <w:tc>
          <w:tcPr>
            <w:tcW w:w="0" w:type="auto"/>
            <w:noWrap/>
            <w:hideMark/>
          </w:tcPr>
          <w:p w14:paraId="2D1ACD15"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w:t>
            </w:r>
          </w:p>
        </w:tc>
        <w:tc>
          <w:tcPr>
            <w:tcW w:w="0" w:type="auto"/>
            <w:noWrap/>
            <w:hideMark/>
          </w:tcPr>
          <w:p w14:paraId="783A765E"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c>
          <w:tcPr>
            <w:tcW w:w="0" w:type="auto"/>
            <w:noWrap/>
            <w:hideMark/>
          </w:tcPr>
          <w:p w14:paraId="75DBE8E2"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73%</w:t>
            </w:r>
          </w:p>
        </w:tc>
        <w:tc>
          <w:tcPr>
            <w:tcW w:w="0" w:type="auto"/>
            <w:noWrap/>
            <w:hideMark/>
          </w:tcPr>
          <w:p w14:paraId="1082262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27%</w:t>
            </w:r>
          </w:p>
        </w:tc>
        <w:tc>
          <w:tcPr>
            <w:tcW w:w="0" w:type="auto"/>
            <w:noWrap/>
            <w:hideMark/>
          </w:tcPr>
          <w:p w14:paraId="6BFE9057"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0%</w:t>
            </w:r>
          </w:p>
        </w:tc>
      </w:tr>
      <w:tr w:rsidR="003C27E0" w:rsidRPr="00F57B18" w14:paraId="0C745CDF" w14:textId="77777777" w:rsidTr="003C27E0">
        <w:trPr>
          <w:trHeight w:val="320"/>
        </w:trPr>
        <w:tc>
          <w:tcPr>
            <w:tcW w:w="0" w:type="auto"/>
            <w:noWrap/>
            <w:hideMark/>
          </w:tcPr>
          <w:p w14:paraId="789CB49B" w14:textId="77777777" w:rsidR="00F57B18" w:rsidRPr="003C27E0" w:rsidRDefault="00F57B18">
            <w:pPr>
              <w:rPr>
                <w:rFonts w:ascii="Arial" w:hAnsi="Arial" w:cs="Arial"/>
                <w:sz w:val="18"/>
                <w:szCs w:val="18"/>
              </w:rPr>
            </w:pPr>
            <w:r w:rsidRPr="003C27E0">
              <w:rPr>
                <w:rFonts w:ascii="Arial" w:hAnsi="Arial" w:cs="Arial"/>
                <w:sz w:val="18"/>
                <w:szCs w:val="18"/>
              </w:rPr>
              <w:t>&gt;= 50000</w:t>
            </w:r>
          </w:p>
        </w:tc>
        <w:tc>
          <w:tcPr>
            <w:tcW w:w="0" w:type="auto"/>
            <w:noWrap/>
            <w:hideMark/>
          </w:tcPr>
          <w:p w14:paraId="2EC997D8"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313</w:t>
            </w:r>
          </w:p>
        </w:tc>
        <w:tc>
          <w:tcPr>
            <w:tcW w:w="0" w:type="auto"/>
            <w:noWrap/>
            <w:hideMark/>
          </w:tcPr>
          <w:p w14:paraId="06D304C7"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114</w:t>
            </w:r>
          </w:p>
        </w:tc>
        <w:tc>
          <w:tcPr>
            <w:tcW w:w="0" w:type="auto"/>
            <w:noWrap/>
            <w:hideMark/>
          </w:tcPr>
          <w:p w14:paraId="686AE875"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163</w:t>
            </w:r>
          </w:p>
        </w:tc>
        <w:tc>
          <w:tcPr>
            <w:tcW w:w="0" w:type="auto"/>
            <w:noWrap/>
            <w:hideMark/>
          </w:tcPr>
          <w:p w14:paraId="6864CA1C"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28</w:t>
            </w:r>
          </w:p>
        </w:tc>
        <w:tc>
          <w:tcPr>
            <w:tcW w:w="0" w:type="auto"/>
            <w:noWrap/>
            <w:hideMark/>
          </w:tcPr>
          <w:p w14:paraId="7DAA8CCE"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36%</w:t>
            </w:r>
          </w:p>
        </w:tc>
        <w:tc>
          <w:tcPr>
            <w:tcW w:w="0" w:type="auto"/>
            <w:noWrap/>
            <w:hideMark/>
          </w:tcPr>
          <w:p w14:paraId="12E8A59D"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52%</w:t>
            </w:r>
          </w:p>
        </w:tc>
        <w:tc>
          <w:tcPr>
            <w:tcW w:w="0" w:type="auto"/>
            <w:noWrap/>
            <w:hideMark/>
          </w:tcPr>
          <w:p w14:paraId="0226255F" w14:textId="77777777" w:rsidR="00F57B18" w:rsidRPr="003C27E0" w:rsidRDefault="00F57B18" w:rsidP="003C27E0">
            <w:pPr>
              <w:jc w:val="center"/>
              <w:rPr>
                <w:rFonts w:ascii="Arial" w:hAnsi="Arial" w:cs="Arial"/>
                <w:sz w:val="18"/>
                <w:szCs w:val="18"/>
              </w:rPr>
            </w:pPr>
            <w:r w:rsidRPr="003C27E0">
              <w:rPr>
                <w:rFonts w:ascii="Arial" w:hAnsi="Arial" w:cs="Arial"/>
                <w:sz w:val="18"/>
                <w:szCs w:val="18"/>
              </w:rPr>
              <w:t>9%</w:t>
            </w:r>
          </w:p>
        </w:tc>
      </w:tr>
    </w:tbl>
    <w:p w14:paraId="607DB36F" w14:textId="77777777" w:rsidR="00FC6772" w:rsidRDefault="00FC6772" w:rsidP="00CA7C63"/>
    <w:p w14:paraId="480481AB" w14:textId="77777777" w:rsidR="003C27E0" w:rsidRDefault="003C27E0" w:rsidP="00CA7C63"/>
    <w:p w14:paraId="2985D7C9" w14:textId="1F940B2C" w:rsidR="00FC6772" w:rsidRDefault="00387DA9" w:rsidP="00CA7C63">
      <w:r>
        <w:rPr>
          <w:noProof/>
        </w:rPr>
        <w:drawing>
          <wp:inline distT="0" distB="0" distL="0" distR="0" wp14:anchorId="0D7D558E" wp14:editId="01EF552F">
            <wp:extent cx="5943600" cy="3553460"/>
            <wp:effectExtent l="0" t="0" r="12700" b="15240"/>
            <wp:docPr id="1579598825" name="Chart 1">
              <a:extLst xmlns:a="http://schemas.openxmlformats.org/drawingml/2006/main">
                <a:ext uri="{FF2B5EF4-FFF2-40B4-BE49-F238E27FC236}">
                  <a16:creationId xmlns:a16="http://schemas.microsoft.com/office/drawing/2014/main" id="{B25D1016-6E0E-5479-AFD1-98E8424EB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96A835" w14:textId="640C51A8" w:rsidR="00FC6772" w:rsidRDefault="00387DA9" w:rsidP="00CA7C63">
      <w:r>
        <w:t>Figure 4. Crowdfunding Outcomes based on Target Goals</w:t>
      </w:r>
    </w:p>
    <w:p w14:paraId="735AC7B4" w14:textId="77777777" w:rsidR="00FC6772" w:rsidRDefault="00FC6772" w:rsidP="00CA7C63"/>
    <w:p w14:paraId="786B85FB" w14:textId="77777777" w:rsidR="00FC6772" w:rsidRDefault="00FC6772" w:rsidP="00CA7C63"/>
    <w:p w14:paraId="5E362E0F" w14:textId="001D9B21" w:rsidR="00FC6772" w:rsidRDefault="00FC6772" w:rsidP="00CA7C63">
      <w:r>
        <w:lastRenderedPageBreak/>
        <w:t>Statistical Analysis</w:t>
      </w:r>
      <w:r w:rsidR="00787DA8">
        <w:t>:  Campaign Backers and Outcomes</w:t>
      </w:r>
    </w:p>
    <w:p w14:paraId="7AACDA51" w14:textId="77777777" w:rsidR="00FC6772" w:rsidRDefault="00FC6772" w:rsidP="00CA7C63"/>
    <w:p w14:paraId="1AF5CBE0" w14:textId="3977A84F" w:rsidR="00FC6772" w:rsidRDefault="00FC6772" w:rsidP="00CA7C63">
      <w:r>
        <w:t xml:space="preserve">Table </w:t>
      </w:r>
      <w:r w:rsidR="003C27E0">
        <w:t>2.</w:t>
      </w:r>
      <w:r>
        <w:t xml:space="preserve">  Summary Statistics</w:t>
      </w:r>
      <w:r w:rsidR="00535CBD">
        <w:t xml:space="preserve">: </w:t>
      </w:r>
      <w:r>
        <w:t>Backers</w:t>
      </w:r>
      <w:r w:rsidR="00535CBD">
        <w:t xml:space="preserve"> of Failed Campaigns</w:t>
      </w:r>
    </w:p>
    <w:tbl>
      <w:tblPr>
        <w:tblW w:w="3865" w:type="dxa"/>
        <w:tblLook w:val="04A0" w:firstRow="1" w:lastRow="0" w:firstColumn="1" w:lastColumn="0" w:noHBand="0" w:noVBand="1"/>
      </w:tblPr>
      <w:tblGrid>
        <w:gridCol w:w="2155"/>
        <w:gridCol w:w="1710"/>
      </w:tblGrid>
      <w:tr w:rsidR="00FC6772" w:rsidRPr="00FC6772" w14:paraId="62AB74D3" w14:textId="77777777" w:rsidTr="00FC6772">
        <w:trPr>
          <w:trHeight w:val="320"/>
        </w:trPr>
        <w:tc>
          <w:tcPr>
            <w:tcW w:w="2155" w:type="dxa"/>
            <w:tcBorders>
              <w:top w:val="single" w:sz="4" w:space="0" w:color="D9D9D9"/>
              <w:left w:val="single" w:sz="4" w:space="0" w:color="D9D9D9"/>
              <w:bottom w:val="single" w:sz="4" w:space="0" w:color="D9D9D9"/>
              <w:right w:val="single" w:sz="4" w:space="0" w:color="D9D9D9"/>
            </w:tcBorders>
            <w:shd w:val="clear" w:color="000000" w:fill="000000"/>
            <w:noWrap/>
            <w:vAlign w:val="bottom"/>
            <w:hideMark/>
          </w:tcPr>
          <w:p w14:paraId="514D34C4" w14:textId="77777777" w:rsidR="00FC6772" w:rsidRPr="00FC6772" w:rsidRDefault="00FC6772" w:rsidP="00FC6772">
            <w:pPr>
              <w:rPr>
                <w:rFonts w:ascii="Calibri" w:eastAsia="Times New Roman" w:hAnsi="Calibri" w:cs="Calibri"/>
                <w:b/>
                <w:bCs/>
                <w:color w:val="FFFFFF"/>
                <w:kern w:val="0"/>
                <w14:ligatures w14:val="none"/>
              </w:rPr>
            </w:pPr>
            <w:r w:rsidRPr="00FC6772">
              <w:rPr>
                <w:rFonts w:ascii="Calibri" w:eastAsia="Times New Roman" w:hAnsi="Calibri" w:cs="Calibri"/>
                <w:b/>
                <w:bCs/>
                <w:color w:val="FFFFFF"/>
                <w:kern w:val="0"/>
                <w14:ligatures w14:val="none"/>
              </w:rPr>
              <w:t>Statistic</w:t>
            </w:r>
          </w:p>
        </w:tc>
        <w:tc>
          <w:tcPr>
            <w:tcW w:w="1710" w:type="dxa"/>
            <w:tcBorders>
              <w:top w:val="single" w:sz="4" w:space="0" w:color="D9D9D9"/>
              <w:left w:val="nil"/>
              <w:bottom w:val="single" w:sz="4" w:space="0" w:color="D9D9D9"/>
              <w:right w:val="single" w:sz="4" w:space="0" w:color="D9D9D9"/>
            </w:tcBorders>
            <w:shd w:val="clear" w:color="000000" w:fill="000000"/>
            <w:noWrap/>
            <w:vAlign w:val="bottom"/>
            <w:hideMark/>
          </w:tcPr>
          <w:p w14:paraId="19EE3672" w14:textId="77777777" w:rsidR="00FC6772" w:rsidRPr="00FC6772" w:rsidRDefault="00FC6772" w:rsidP="00FC6772">
            <w:pPr>
              <w:rPr>
                <w:rFonts w:ascii="Calibri" w:eastAsia="Times New Roman" w:hAnsi="Calibri" w:cs="Calibri"/>
                <w:b/>
                <w:bCs/>
                <w:color w:val="FFFFFF"/>
                <w:kern w:val="0"/>
                <w14:ligatures w14:val="none"/>
              </w:rPr>
            </w:pPr>
            <w:r w:rsidRPr="00FC6772">
              <w:rPr>
                <w:rFonts w:ascii="Calibri" w:eastAsia="Times New Roman" w:hAnsi="Calibri" w:cs="Calibri"/>
                <w:b/>
                <w:bCs/>
                <w:color w:val="FFFFFF"/>
                <w:kern w:val="0"/>
                <w14:ligatures w14:val="none"/>
              </w:rPr>
              <w:t>Statistic value</w:t>
            </w:r>
          </w:p>
        </w:tc>
      </w:tr>
      <w:tr w:rsidR="00FC6772" w:rsidRPr="00FC6772" w14:paraId="0F46A3C5" w14:textId="77777777" w:rsidTr="00FC6772">
        <w:trPr>
          <w:trHeight w:val="320"/>
        </w:trPr>
        <w:tc>
          <w:tcPr>
            <w:tcW w:w="2155" w:type="dxa"/>
            <w:tcBorders>
              <w:top w:val="nil"/>
              <w:left w:val="nil"/>
              <w:bottom w:val="nil"/>
              <w:right w:val="nil"/>
            </w:tcBorders>
            <w:shd w:val="clear" w:color="auto" w:fill="auto"/>
            <w:noWrap/>
            <w:vAlign w:val="bottom"/>
            <w:hideMark/>
          </w:tcPr>
          <w:p w14:paraId="66ADB271"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Mean</w:t>
            </w:r>
          </w:p>
        </w:tc>
        <w:tc>
          <w:tcPr>
            <w:tcW w:w="1710" w:type="dxa"/>
            <w:tcBorders>
              <w:top w:val="nil"/>
              <w:left w:val="nil"/>
              <w:bottom w:val="nil"/>
              <w:right w:val="nil"/>
            </w:tcBorders>
            <w:shd w:val="clear" w:color="auto" w:fill="auto"/>
            <w:noWrap/>
            <w:vAlign w:val="bottom"/>
            <w:hideMark/>
          </w:tcPr>
          <w:p w14:paraId="30A3998E"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586</w:t>
            </w:r>
          </w:p>
        </w:tc>
      </w:tr>
      <w:tr w:rsidR="00FC6772" w:rsidRPr="00FC6772" w14:paraId="23B0F13E" w14:textId="77777777" w:rsidTr="00FC6772">
        <w:trPr>
          <w:trHeight w:val="320"/>
        </w:trPr>
        <w:tc>
          <w:tcPr>
            <w:tcW w:w="2155" w:type="dxa"/>
            <w:tcBorders>
              <w:top w:val="nil"/>
              <w:left w:val="nil"/>
              <w:bottom w:val="nil"/>
              <w:right w:val="nil"/>
            </w:tcBorders>
            <w:shd w:val="clear" w:color="auto" w:fill="auto"/>
            <w:noWrap/>
            <w:vAlign w:val="bottom"/>
            <w:hideMark/>
          </w:tcPr>
          <w:p w14:paraId="24058579"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Median</w:t>
            </w:r>
          </w:p>
        </w:tc>
        <w:tc>
          <w:tcPr>
            <w:tcW w:w="1710" w:type="dxa"/>
            <w:tcBorders>
              <w:top w:val="nil"/>
              <w:left w:val="nil"/>
              <w:bottom w:val="nil"/>
              <w:right w:val="nil"/>
            </w:tcBorders>
            <w:shd w:val="clear" w:color="auto" w:fill="auto"/>
            <w:noWrap/>
            <w:vAlign w:val="bottom"/>
            <w:hideMark/>
          </w:tcPr>
          <w:p w14:paraId="02DE42AF"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115</w:t>
            </w:r>
          </w:p>
        </w:tc>
      </w:tr>
      <w:tr w:rsidR="00FC6772" w:rsidRPr="00FC6772" w14:paraId="0CD7FABB" w14:textId="77777777" w:rsidTr="00FC6772">
        <w:trPr>
          <w:trHeight w:val="320"/>
        </w:trPr>
        <w:tc>
          <w:tcPr>
            <w:tcW w:w="2155" w:type="dxa"/>
            <w:tcBorders>
              <w:top w:val="nil"/>
              <w:left w:val="nil"/>
              <w:bottom w:val="nil"/>
              <w:right w:val="nil"/>
            </w:tcBorders>
            <w:shd w:val="clear" w:color="auto" w:fill="auto"/>
            <w:noWrap/>
            <w:vAlign w:val="bottom"/>
            <w:hideMark/>
          </w:tcPr>
          <w:p w14:paraId="56239DCF"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Min</w:t>
            </w:r>
          </w:p>
        </w:tc>
        <w:tc>
          <w:tcPr>
            <w:tcW w:w="1710" w:type="dxa"/>
            <w:tcBorders>
              <w:top w:val="nil"/>
              <w:left w:val="nil"/>
              <w:bottom w:val="nil"/>
              <w:right w:val="nil"/>
            </w:tcBorders>
            <w:shd w:val="clear" w:color="auto" w:fill="auto"/>
            <w:noWrap/>
            <w:vAlign w:val="bottom"/>
            <w:hideMark/>
          </w:tcPr>
          <w:p w14:paraId="2F69E737"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0</w:t>
            </w:r>
          </w:p>
        </w:tc>
      </w:tr>
      <w:tr w:rsidR="00FC6772" w:rsidRPr="00FC6772" w14:paraId="1F7D83CE" w14:textId="77777777" w:rsidTr="00FC6772">
        <w:trPr>
          <w:trHeight w:val="320"/>
        </w:trPr>
        <w:tc>
          <w:tcPr>
            <w:tcW w:w="2155" w:type="dxa"/>
            <w:tcBorders>
              <w:top w:val="nil"/>
              <w:left w:val="nil"/>
              <w:bottom w:val="nil"/>
              <w:right w:val="nil"/>
            </w:tcBorders>
            <w:shd w:val="clear" w:color="auto" w:fill="auto"/>
            <w:noWrap/>
            <w:vAlign w:val="bottom"/>
            <w:hideMark/>
          </w:tcPr>
          <w:p w14:paraId="54BA91ED"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Max</w:t>
            </w:r>
          </w:p>
        </w:tc>
        <w:tc>
          <w:tcPr>
            <w:tcW w:w="1710" w:type="dxa"/>
            <w:tcBorders>
              <w:top w:val="nil"/>
              <w:left w:val="nil"/>
              <w:bottom w:val="nil"/>
              <w:right w:val="nil"/>
            </w:tcBorders>
            <w:shd w:val="clear" w:color="auto" w:fill="auto"/>
            <w:noWrap/>
            <w:vAlign w:val="bottom"/>
            <w:hideMark/>
          </w:tcPr>
          <w:p w14:paraId="147D2191"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6080</w:t>
            </w:r>
          </w:p>
        </w:tc>
      </w:tr>
      <w:tr w:rsidR="00FC6772" w:rsidRPr="00FC6772" w14:paraId="518EDE12" w14:textId="77777777" w:rsidTr="00FC6772">
        <w:trPr>
          <w:trHeight w:val="320"/>
        </w:trPr>
        <w:tc>
          <w:tcPr>
            <w:tcW w:w="2155" w:type="dxa"/>
            <w:tcBorders>
              <w:top w:val="nil"/>
              <w:left w:val="nil"/>
              <w:bottom w:val="nil"/>
              <w:right w:val="nil"/>
            </w:tcBorders>
            <w:shd w:val="clear" w:color="auto" w:fill="auto"/>
            <w:noWrap/>
            <w:vAlign w:val="bottom"/>
            <w:hideMark/>
          </w:tcPr>
          <w:p w14:paraId="2D363E4B" w14:textId="1BECE8EA"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Var</w:t>
            </w:r>
            <w:r>
              <w:rPr>
                <w:rFonts w:ascii="Calibri" w:eastAsia="Times New Roman" w:hAnsi="Calibri" w:cs="Calibri"/>
                <w:color w:val="000000"/>
                <w:kern w:val="0"/>
                <w14:ligatures w14:val="none"/>
              </w:rPr>
              <w:t>iance (sample)</w:t>
            </w:r>
          </w:p>
        </w:tc>
        <w:tc>
          <w:tcPr>
            <w:tcW w:w="1710" w:type="dxa"/>
            <w:tcBorders>
              <w:top w:val="nil"/>
              <w:left w:val="nil"/>
              <w:bottom w:val="nil"/>
              <w:right w:val="nil"/>
            </w:tcBorders>
            <w:shd w:val="clear" w:color="auto" w:fill="auto"/>
            <w:noWrap/>
            <w:vAlign w:val="bottom"/>
            <w:hideMark/>
          </w:tcPr>
          <w:p w14:paraId="15008F87" w14:textId="0334BE4E"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92</w:t>
            </w:r>
            <w:r>
              <w:rPr>
                <w:rFonts w:ascii="Calibri" w:eastAsia="Times New Roman" w:hAnsi="Calibri" w:cs="Calibri"/>
                <w:color w:val="000000"/>
                <w:kern w:val="0"/>
                <w14:ligatures w14:val="none"/>
              </w:rPr>
              <w:t>4113</w:t>
            </w:r>
          </w:p>
        </w:tc>
      </w:tr>
      <w:tr w:rsidR="00FC6772" w:rsidRPr="00FC6772" w14:paraId="131021F3" w14:textId="77777777" w:rsidTr="00FC6772">
        <w:trPr>
          <w:trHeight w:val="320"/>
        </w:trPr>
        <w:tc>
          <w:tcPr>
            <w:tcW w:w="2155" w:type="dxa"/>
            <w:tcBorders>
              <w:top w:val="nil"/>
              <w:left w:val="nil"/>
              <w:bottom w:val="nil"/>
              <w:right w:val="nil"/>
            </w:tcBorders>
            <w:shd w:val="clear" w:color="auto" w:fill="auto"/>
            <w:noWrap/>
            <w:vAlign w:val="bottom"/>
            <w:hideMark/>
          </w:tcPr>
          <w:p w14:paraId="70EA42EF" w14:textId="17E45F6C"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St</w:t>
            </w:r>
            <w:r>
              <w:rPr>
                <w:rFonts w:ascii="Calibri" w:eastAsia="Times New Roman" w:hAnsi="Calibri" w:cs="Calibri"/>
                <w:color w:val="000000"/>
                <w:kern w:val="0"/>
                <w14:ligatures w14:val="none"/>
              </w:rPr>
              <w:t>andard Deviation</w:t>
            </w:r>
          </w:p>
        </w:tc>
        <w:tc>
          <w:tcPr>
            <w:tcW w:w="1710" w:type="dxa"/>
            <w:tcBorders>
              <w:top w:val="nil"/>
              <w:left w:val="nil"/>
              <w:bottom w:val="nil"/>
              <w:right w:val="nil"/>
            </w:tcBorders>
            <w:shd w:val="clear" w:color="auto" w:fill="auto"/>
            <w:noWrap/>
            <w:vAlign w:val="bottom"/>
            <w:hideMark/>
          </w:tcPr>
          <w:p w14:paraId="6616C854"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961</w:t>
            </w:r>
          </w:p>
        </w:tc>
      </w:tr>
    </w:tbl>
    <w:p w14:paraId="43FECB9E" w14:textId="35C436F5" w:rsidR="007F5F6C" w:rsidRDefault="001A22E6" w:rsidP="00CA7C63">
      <w:r>
        <w:t xml:space="preserve"> </w:t>
      </w:r>
      <w:r w:rsidR="00FC6772">
        <w:t xml:space="preserve"> N</w:t>
      </w:r>
      <w:r w:rsidR="00FC6772">
        <w:tab/>
      </w:r>
      <w:r w:rsidR="00FC6772">
        <w:tab/>
      </w:r>
      <w:r w:rsidR="00FC6772">
        <w:tab/>
        <w:t xml:space="preserve">  365</w:t>
      </w:r>
    </w:p>
    <w:p w14:paraId="5EE64224" w14:textId="3F5060D4" w:rsidR="0044387C" w:rsidRDefault="0044387C"/>
    <w:p w14:paraId="712EB585" w14:textId="77777777" w:rsidR="00787DA8" w:rsidRDefault="00787DA8"/>
    <w:p w14:paraId="279B6507" w14:textId="66A0196E" w:rsidR="00FC6772" w:rsidRDefault="00FC6772">
      <w:r>
        <w:t xml:space="preserve">Table </w:t>
      </w:r>
      <w:r w:rsidR="003C27E0">
        <w:t>3.</w:t>
      </w:r>
      <w:r>
        <w:t xml:space="preserve">  Summary </w:t>
      </w:r>
      <w:r w:rsidR="00787DA8">
        <w:t>Statistics</w:t>
      </w:r>
      <w:r w:rsidR="00535CBD">
        <w:t>:</w:t>
      </w:r>
      <w:r w:rsidR="00787DA8">
        <w:t xml:space="preserve"> </w:t>
      </w:r>
      <w:r w:rsidR="00535CBD">
        <w:t>Backers of Successful Campaigns</w:t>
      </w:r>
    </w:p>
    <w:tbl>
      <w:tblPr>
        <w:tblW w:w="4135" w:type="dxa"/>
        <w:tblLook w:val="04A0" w:firstRow="1" w:lastRow="0" w:firstColumn="1" w:lastColumn="0" w:noHBand="0" w:noVBand="1"/>
      </w:tblPr>
      <w:tblGrid>
        <w:gridCol w:w="2155"/>
        <w:gridCol w:w="1980"/>
      </w:tblGrid>
      <w:tr w:rsidR="00FC6772" w:rsidRPr="00FC6772" w14:paraId="45660FDF" w14:textId="77777777" w:rsidTr="00FC6772">
        <w:trPr>
          <w:trHeight w:val="320"/>
        </w:trPr>
        <w:tc>
          <w:tcPr>
            <w:tcW w:w="2155" w:type="dxa"/>
            <w:tcBorders>
              <w:top w:val="single" w:sz="4" w:space="0" w:color="D9D9D9"/>
              <w:left w:val="single" w:sz="4" w:space="0" w:color="D9D9D9"/>
              <w:bottom w:val="single" w:sz="4" w:space="0" w:color="D9D9D9"/>
              <w:right w:val="single" w:sz="4" w:space="0" w:color="D9D9D9"/>
            </w:tcBorders>
            <w:shd w:val="clear" w:color="000000" w:fill="000000"/>
            <w:noWrap/>
            <w:vAlign w:val="bottom"/>
            <w:hideMark/>
          </w:tcPr>
          <w:p w14:paraId="3D8C25CA" w14:textId="77777777" w:rsidR="00FC6772" w:rsidRPr="00FC6772" w:rsidRDefault="00FC6772" w:rsidP="00FC6772">
            <w:pPr>
              <w:rPr>
                <w:rFonts w:ascii="Calibri" w:eastAsia="Times New Roman" w:hAnsi="Calibri" w:cs="Calibri"/>
                <w:b/>
                <w:bCs/>
                <w:color w:val="FFFFFF"/>
                <w:kern w:val="0"/>
                <w14:ligatures w14:val="none"/>
              </w:rPr>
            </w:pPr>
            <w:r w:rsidRPr="00FC6772">
              <w:rPr>
                <w:rFonts w:ascii="Calibri" w:eastAsia="Times New Roman" w:hAnsi="Calibri" w:cs="Calibri"/>
                <w:b/>
                <w:bCs/>
                <w:color w:val="FFFFFF"/>
                <w:kern w:val="0"/>
                <w14:ligatures w14:val="none"/>
              </w:rPr>
              <w:t>Statistic</w:t>
            </w:r>
          </w:p>
        </w:tc>
        <w:tc>
          <w:tcPr>
            <w:tcW w:w="1980" w:type="dxa"/>
            <w:tcBorders>
              <w:top w:val="single" w:sz="4" w:space="0" w:color="D9D9D9"/>
              <w:left w:val="nil"/>
              <w:bottom w:val="single" w:sz="4" w:space="0" w:color="D9D9D9"/>
              <w:right w:val="single" w:sz="4" w:space="0" w:color="D9D9D9"/>
            </w:tcBorders>
            <w:shd w:val="clear" w:color="000000" w:fill="000000"/>
            <w:noWrap/>
            <w:vAlign w:val="bottom"/>
            <w:hideMark/>
          </w:tcPr>
          <w:p w14:paraId="44928E33" w14:textId="77777777" w:rsidR="00FC6772" w:rsidRPr="00FC6772" w:rsidRDefault="00FC6772" w:rsidP="00FC6772">
            <w:pPr>
              <w:rPr>
                <w:rFonts w:ascii="Calibri" w:eastAsia="Times New Roman" w:hAnsi="Calibri" w:cs="Calibri"/>
                <w:b/>
                <w:bCs/>
                <w:color w:val="FFFFFF"/>
                <w:kern w:val="0"/>
                <w14:ligatures w14:val="none"/>
              </w:rPr>
            </w:pPr>
            <w:r w:rsidRPr="00FC6772">
              <w:rPr>
                <w:rFonts w:ascii="Calibri" w:eastAsia="Times New Roman" w:hAnsi="Calibri" w:cs="Calibri"/>
                <w:b/>
                <w:bCs/>
                <w:color w:val="FFFFFF"/>
                <w:kern w:val="0"/>
                <w14:ligatures w14:val="none"/>
              </w:rPr>
              <w:t>Statistical value</w:t>
            </w:r>
          </w:p>
        </w:tc>
      </w:tr>
      <w:tr w:rsidR="00FC6772" w:rsidRPr="00FC6772" w14:paraId="5CAC4558" w14:textId="77777777" w:rsidTr="00FC6772">
        <w:trPr>
          <w:trHeight w:val="320"/>
        </w:trPr>
        <w:tc>
          <w:tcPr>
            <w:tcW w:w="2155" w:type="dxa"/>
            <w:tcBorders>
              <w:top w:val="nil"/>
              <w:left w:val="nil"/>
              <w:bottom w:val="nil"/>
              <w:right w:val="nil"/>
            </w:tcBorders>
            <w:shd w:val="clear" w:color="auto" w:fill="auto"/>
            <w:noWrap/>
            <w:vAlign w:val="bottom"/>
            <w:hideMark/>
          </w:tcPr>
          <w:p w14:paraId="777BB394"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Mean</w:t>
            </w:r>
          </w:p>
        </w:tc>
        <w:tc>
          <w:tcPr>
            <w:tcW w:w="1980" w:type="dxa"/>
            <w:tcBorders>
              <w:top w:val="nil"/>
              <w:left w:val="nil"/>
              <w:bottom w:val="nil"/>
              <w:right w:val="nil"/>
            </w:tcBorders>
            <w:shd w:val="clear" w:color="auto" w:fill="auto"/>
            <w:noWrap/>
            <w:vAlign w:val="bottom"/>
            <w:hideMark/>
          </w:tcPr>
          <w:p w14:paraId="5FA51F3D"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851</w:t>
            </w:r>
          </w:p>
        </w:tc>
      </w:tr>
      <w:tr w:rsidR="00FC6772" w:rsidRPr="00FC6772" w14:paraId="0A9CAC5D" w14:textId="77777777" w:rsidTr="00FC6772">
        <w:trPr>
          <w:trHeight w:val="320"/>
        </w:trPr>
        <w:tc>
          <w:tcPr>
            <w:tcW w:w="2155" w:type="dxa"/>
            <w:tcBorders>
              <w:top w:val="nil"/>
              <w:left w:val="nil"/>
              <w:bottom w:val="nil"/>
              <w:right w:val="nil"/>
            </w:tcBorders>
            <w:shd w:val="clear" w:color="auto" w:fill="auto"/>
            <w:noWrap/>
            <w:vAlign w:val="bottom"/>
            <w:hideMark/>
          </w:tcPr>
          <w:p w14:paraId="57ED272B"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Median</w:t>
            </w:r>
          </w:p>
        </w:tc>
        <w:tc>
          <w:tcPr>
            <w:tcW w:w="1980" w:type="dxa"/>
            <w:tcBorders>
              <w:top w:val="nil"/>
              <w:left w:val="nil"/>
              <w:bottom w:val="nil"/>
              <w:right w:val="nil"/>
            </w:tcBorders>
            <w:shd w:val="clear" w:color="auto" w:fill="auto"/>
            <w:noWrap/>
            <w:vAlign w:val="bottom"/>
            <w:hideMark/>
          </w:tcPr>
          <w:p w14:paraId="40049388"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201</w:t>
            </w:r>
          </w:p>
        </w:tc>
      </w:tr>
      <w:tr w:rsidR="00FC6772" w:rsidRPr="00FC6772" w14:paraId="5528EA34" w14:textId="77777777" w:rsidTr="00FC6772">
        <w:trPr>
          <w:trHeight w:val="320"/>
        </w:trPr>
        <w:tc>
          <w:tcPr>
            <w:tcW w:w="2155" w:type="dxa"/>
            <w:tcBorders>
              <w:top w:val="nil"/>
              <w:left w:val="nil"/>
              <w:bottom w:val="nil"/>
              <w:right w:val="nil"/>
            </w:tcBorders>
            <w:shd w:val="clear" w:color="auto" w:fill="auto"/>
            <w:noWrap/>
            <w:vAlign w:val="bottom"/>
            <w:hideMark/>
          </w:tcPr>
          <w:p w14:paraId="378D2B1A"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Min</w:t>
            </w:r>
          </w:p>
        </w:tc>
        <w:tc>
          <w:tcPr>
            <w:tcW w:w="1980" w:type="dxa"/>
            <w:tcBorders>
              <w:top w:val="nil"/>
              <w:left w:val="nil"/>
              <w:bottom w:val="nil"/>
              <w:right w:val="nil"/>
            </w:tcBorders>
            <w:shd w:val="clear" w:color="auto" w:fill="auto"/>
            <w:noWrap/>
            <w:vAlign w:val="bottom"/>
            <w:hideMark/>
          </w:tcPr>
          <w:p w14:paraId="3DBB4A94"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16</w:t>
            </w:r>
          </w:p>
        </w:tc>
      </w:tr>
      <w:tr w:rsidR="00FC6772" w:rsidRPr="00FC6772" w14:paraId="5F9E653F" w14:textId="77777777" w:rsidTr="00FC6772">
        <w:trPr>
          <w:trHeight w:val="320"/>
        </w:trPr>
        <w:tc>
          <w:tcPr>
            <w:tcW w:w="2155" w:type="dxa"/>
            <w:tcBorders>
              <w:top w:val="nil"/>
              <w:left w:val="nil"/>
              <w:bottom w:val="nil"/>
              <w:right w:val="nil"/>
            </w:tcBorders>
            <w:shd w:val="clear" w:color="auto" w:fill="auto"/>
            <w:noWrap/>
            <w:vAlign w:val="bottom"/>
            <w:hideMark/>
          </w:tcPr>
          <w:p w14:paraId="1DADAFF3"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Max</w:t>
            </w:r>
          </w:p>
        </w:tc>
        <w:tc>
          <w:tcPr>
            <w:tcW w:w="1980" w:type="dxa"/>
            <w:tcBorders>
              <w:top w:val="nil"/>
              <w:left w:val="nil"/>
              <w:bottom w:val="nil"/>
              <w:right w:val="nil"/>
            </w:tcBorders>
            <w:shd w:val="clear" w:color="auto" w:fill="auto"/>
            <w:noWrap/>
            <w:vAlign w:val="bottom"/>
            <w:hideMark/>
          </w:tcPr>
          <w:p w14:paraId="2B43B5B3"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6465</w:t>
            </w:r>
          </w:p>
        </w:tc>
      </w:tr>
      <w:tr w:rsidR="00FC6772" w:rsidRPr="00FC6772" w14:paraId="74CCC99D" w14:textId="77777777" w:rsidTr="00FC6772">
        <w:trPr>
          <w:trHeight w:val="320"/>
        </w:trPr>
        <w:tc>
          <w:tcPr>
            <w:tcW w:w="2155" w:type="dxa"/>
            <w:tcBorders>
              <w:top w:val="nil"/>
              <w:left w:val="nil"/>
              <w:bottom w:val="nil"/>
              <w:right w:val="nil"/>
            </w:tcBorders>
            <w:shd w:val="clear" w:color="auto" w:fill="auto"/>
            <w:noWrap/>
            <w:vAlign w:val="bottom"/>
            <w:hideMark/>
          </w:tcPr>
          <w:p w14:paraId="5A9F1E31" w14:textId="32BFE499"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Var</w:t>
            </w:r>
            <w:r>
              <w:rPr>
                <w:rFonts w:ascii="Calibri" w:eastAsia="Times New Roman" w:hAnsi="Calibri" w:cs="Calibri"/>
                <w:color w:val="000000"/>
                <w:kern w:val="0"/>
                <w14:ligatures w14:val="none"/>
              </w:rPr>
              <w:t xml:space="preserve"> (sample)</w:t>
            </w:r>
          </w:p>
        </w:tc>
        <w:tc>
          <w:tcPr>
            <w:tcW w:w="1980" w:type="dxa"/>
            <w:tcBorders>
              <w:top w:val="nil"/>
              <w:left w:val="nil"/>
              <w:bottom w:val="nil"/>
              <w:right w:val="nil"/>
            </w:tcBorders>
            <w:shd w:val="clear" w:color="auto" w:fill="auto"/>
            <w:noWrap/>
            <w:vAlign w:val="bottom"/>
            <w:hideMark/>
          </w:tcPr>
          <w:p w14:paraId="255624C1" w14:textId="7E9EA39B"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160</w:t>
            </w:r>
            <w:r>
              <w:rPr>
                <w:rFonts w:ascii="Calibri" w:eastAsia="Times New Roman" w:hAnsi="Calibri" w:cs="Calibri"/>
                <w:color w:val="000000"/>
                <w:kern w:val="0"/>
                <w14:ligatures w14:val="none"/>
              </w:rPr>
              <w:t>6217</w:t>
            </w:r>
          </w:p>
        </w:tc>
      </w:tr>
      <w:tr w:rsidR="00FC6772" w:rsidRPr="00FC6772" w14:paraId="6D93D13C" w14:textId="77777777" w:rsidTr="00FC6772">
        <w:trPr>
          <w:trHeight w:val="320"/>
        </w:trPr>
        <w:tc>
          <w:tcPr>
            <w:tcW w:w="2155" w:type="dxa"/>
            <w:tcBorders>
              <w:top w:val="nil"/>
              <w:left w:val="nil"/>
              <w:bottom w:val="nil"/>
              <w:right w:val="nil"/>
            </w:tcBorders>
            <w:shd w:val="clear" w:color="auto" w:fill="auto"/>
            <w:noWrap/>
            <w:vAlign w:val="bottom"/>
            <w:hideMark/>
          </w:tcPr>
          <w:p w14:paraId="6F5F9381" w14:textId="5BA5B03C"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St</w:t>
            </w:r>
            <w:r>
              <w:rPr>
                <w:rFonts w:ascii="Calibri" w:eastAsia="Times New Roman" w:hAnsi="Calibri" w:cs="Calibri"/>
                <w:color w:val="000000"/>
                <w:kern w:val="0"/>
                <w14:ligatures w14:val="none"/>
              </w:rPr>
              <w:t>andard deviation</w:t>
            </w:r>
          </w:p>
        </w:tc>
        <w:tc>
          <w:tcPr>
            <w:tcW w:w="1980" w:type="dxa"/>
            <w:tcBorders>
              <w:top w:val="nil"/>
              <w:left w:val="nil"/>
              <w:bottom w:val="nil"/>
              <w:right w:val="nil"/>
            </w:tcBorders>
            <w:shd w:val="clear" w:color="auto" w:fill="auto"/>
            <w:noWrap/>
            <w:vAlign w:val="bottom"/>
            <w:hideMark/>
          </w:tcPr>
          <w:p w14:paraId="40AAA54A" w14:textId="77777777" w:rsidR="00FC6772" w:rsidRPr="00FC6772" w:rsidRDefault="00FC6772" w:rsidP="00FC6772">
            <w:pPr>
              <w:rPr>
                <w:rFonts w:ascii="Calibri" w:eastAsia="Times New Roman" w:hAnsi="Calibri" w:cs="Calibri"/>
                <w:color w:val="000000"/>
                <w:kern w:val="0"/>
                <w14:ligatures w14:val="none"/>
              </w:rPr>
            </w:pPr>
            <w:r w:rsidRPr="00FC6772">
              <w:rPr>
                <w:rFonts w:ascii="Calibri" w:eastAsia="Times New Roman" w:hAnsi="Calibri" w:cs="Calibri"/>
                <w:color w:val="000000"/>
                <w:kern w:val="0"/>
                <w14:ligatures w14:val="none"/>
              </w:rPr>
              <w:t>1267</w:t>
            </w:r>
          </w:p>
        </w:tc>
      </w:tr>
    </w:tbl>
    <w:p w14:paraId="176F8147" w14:textId="08726BAE" w:rsidR="00FC6772" w:rsidRDefault="00FC6772">
      <w:r>
        <w:t xml:space="preserve">  N</w:t>
      </w:r>
      <w:r>
        <w:tab/>
      </w:r>
      <w:r>
        <w:tab/>
      </w:r>
      <w:r>
        <w:tab/>
        <w:t xml:space="preserve">  566</w:t>
      </w:r>
    </w:p>
    <w:p w14:paraId="4FF170CA" w14:textId="77777777" w:rsidR="00FC6772" w:rsidRDefault="00FC6772"/>
    <w:p w14:paraId="2A495388" w14:textId="2F2752F6" w:rsidR="00652F86" w:rsidRDefault="00652F86" w:rsidP="00652F86">
      <w:r>
        <w:t xml:space="preserve">In Table </w:t>
      </w:r>
      <w:r w:rsidR="00387DA9">
        <w:t>2</w:t>
      </w:r>
      <w:r>
        <w:t xml:space="preserve"> and Table </w:t>
      </w:r>
      <w:r w:rsidR="00387DA9">
        <w:t>3</w:t>
      </w:r>
      <w:r>
        <w:t xml:space="preserve">, the mean compared to its respective median is not equal, nor are they even considerably close. In Figure 1, the entertainment industry showed a generous advantage in campaign contributions over other categories, therefore it is not unexpected to visualize a skew to the right in the summary statistics. In Table </w:t>
      </w:r>
      <w:r w:rsidR="00387DA9">
        <w:t>2</w:t>
      </w:r>
      <w:r>
        <w:t xml:space="preserve">, the mean indicates that out of 365 unsuccessful campaigns, the average number of backers was 586, however the midpoint of the number of backers is 115. This relationship indicates a skew to the right, with the median as a more trusted descriptor. In Table </w:t>
      </w:r>
      <w:r w:rsidR="00387DA9">
        <w:t>3</w:t>
      </w:r>
      <w:r>
        <w:t xml:space="preserve">, the mean indicates that out of 566 successful campaigns, the average number of backers was 851, however the midpoint of the number of backers was 201. As with the unsuccessful backers, the successful backers are also skewed to the right. This can be explained from Figure 1, where there is a direct proportionate relationship between success, and failure of campaigns, regardless of the amount of financial support. The median, in </w:t>
      </w:r>
      <w:r>
        <w:lastRenderedPageBreak/>
        <w:t xml:space="preserve">both circumstances, would be a more trusted measure.  The variance in both samples </w:t>
      </w:r>
      <w:r w:rsidR="00387DA9">
        <w:t>i</w:t>
      </w:r>
      <w:r>
        <w:t xml:space="preserve">ndicates the data points are distant to the mean, with expansive spread. This supports the direct proportionate relationship between success and failures, and why this is evident in both successful and unsuccessful campaigns. </w:t>
      </w:r>
    </w:p>
    <w:p w14:paraId="73869BCB" w14:textId="77777777" w:rsidR="00FC6772" w:rsidRDefault="00FC6772"/>
    <w:sectPr w:rsidR="00FC6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1D7B" w14:textId="77777777" w:rsidR="00BF5B31" w:rsidRDefault="00BF5B31" w:rsidP="00652F86">
      <w:r>
        <w:separator/>
      </w:r>
    </w:p>
  </w:endnote>
  <w:endnote w:type="continuationSeparator" w:id="0">
    <w:p w14:paraId="30991ADD" w14:textId="77777777" w:rsidR="00BF5B31" w:rsidRDefault="00BF5B31" w:rsidP="0065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ubai">
    <w:panose1 w:val="020B0503030403030204"/>
    <w:charset w:val="B2"/>
    <w:family w:val="swiss"/>
    <w:pitch w:val="variable"/>
    <w:sig w:usb0="80002067"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8E37F" w14:textId="77777777" w:rsidR="00BF5B31" w:rsidRDefault="00BF5B31" w:rsidP="00652F86">
      <w:r>
        <w:separator/>
      </w:r>
    </w:p>
  </w:footnote>
  <w:footnote w:type="continuationSeparator" w:id="0">
    <w:p w14:paraId="0189C621" w14:textId="77777777" w:rsidR="00BF5B31" w:rsidRDefault="00BF5B31" w:rsidP="00652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D1"/>
    <w:rsid w:val="00063AFA"/>
    <w:rsid w:val="000669C4"/>
    <w:rsid w:val="00106990"/>
    <w:rsid w:val="001977A3"/>
    <w:rsid w:val="001A22E6"/>
    <w:rsid w:val="001B53D9"/>
    <w:rsid w:val="001D3E33"/>
    <w:rsid w:val="001D785D"/>
    <w:rsid w:val="002D479B"/>
    <w:rsid w:val="00387DA9"/>
    <w:rsid w:val="003C27E0"/>
    <w:rsid w:val="00406E57"/>
    <w:rsid w:val="00423A47"/>
    <w:rsid w:val="0044387C"/>
    <w:rsid w:val="00490E97"/>
    <w:rsid w:val="00491B15"/>
    <w:rsid w:val="00507DF5"/>
    <w:rsid w:val="0051576D"/>
    <w:rsid w:val="00535CBD"/>
    <w:rsid w:val="00561828"/>
    <w:rsid w:val="0057093A"/>
    <w:rsid w:val="005935DF"/>
    <w:rsid w:val="00652F86"/>
    <w:rsid w:val="006769DD"/>
    <w:rsid w:val="00754203"/>
    <w:rsid w:val="00787DA8"/>
    <w:rsid w:val="007F5F6C"/>
    <w:rsid w:val="0086713B"/>
    <w:rsid w:val="00B257D1"/>
    <w:rsid w:val="00B54E77"/>
    <w:rsid w:val="00B8085C"/>
    <w:rsid w:val="00BF5B31"/>
    <w:rsid w:val="00C73496"/>
    <w:rsid w:val="00CA7C63"/>
    <w:rsid w:val="00D5472C"/>
    <w:rsid w:val="00DF6215"/>
    <w:rsid w:val="00E03773"/>
    <w:rsid w:val="00E56413"/>
    <w:rsid w:val="00F50BA2"/>
    <w:rsid w:val="00F57B18"/>
    <w:rsid w:val="00FA2B47"/>
    <w:rsid w:val="00FC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0E5D"/>
  <w15:chartTrackingRefBased/>
  <w15:docId w15:val="{E3839004-61B0-FF45-A167-D49942C2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ubai" w:eastAsiaTheme="minorHAnsi" w:hAnsi="Duba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F86"/>
    <w:pPr>
      <w:tabs>
        <w:tab w:val="center" w:pos="4680"/>
        <w:tab w:val="right" w:pos="9360"/>
      </w:tabs>
    </w:pPr>
  </w:style>
  <w:style w:type="character" w:customStyle="1" w:styleId="HeaderChar">
    <w:name w:val="Header Char"/>
    <w:basedOn w:val="DefaultParagraphFont"/>
    <w:link w:val="Header"/>
    <w:uiPriority w:val="99"/>
    <w:rsid w:val="00652F86"/>
  </w:style>
  <w:style w:type="paragraph" w:styleId="Footer">
    <w:name w:val="footer"/>
    <w:basedOn w:val="Normal"/>
    <w:link w:val="FooterChar"/>
    <w:uiPriority w:val="99"/>
    <w:unhideWhenUsed/>
    <w:rsid w:val="00652F86"/>
    <w:pPr>
      <w:tabs>
        <w:tab w:val="center" w:pos="4680"/>
        <w:tab w:val="right" w:pos="9360"/>
      </w:tabs>
    </w:pPr>
  </w:style>
  <w:style w:type="character" w:customStyle="1" w:styleId="FooterChar">
    <w:name w:val="Footer Char"/>
    <w:basedOn w:val="DefaultParagraphFont"/>
    <w:link w:val="Footer"/>
    <w:uiPriority w:val="99"/>
    <w:rsid w:val="00652F86"/>
  </w:style>
  <w:style w:type="table" w:styleId="TableGrid">
    <w:name w:val="Table Grid"/>
    <w:basedOn w:val="TableNormal"/>
    <w:uiPriority w:val="39"/>
    <w:rsid w:val="00F5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36838">
      <w:bodyDiv w:val="1"/>
      <w:marLeft w:val="0"/>
      <w:marRight w:val="0"/>
      <w:marTop w:val="0"/>
      <w:marBottom w:val="0"/>
      <w:divBdr>
        <w:top w:val="none" w:sz="0" w:space="0" w:color="auto"/>
        <w:left w:val="none" w:sz="0" w:space="0" w:color="auto"/>
        <w:bottom w:val="none" w:sz="0" w:space="0" w:color="auto"/>
        <w:right w:val="none" w:sz="0" w:space="0" w:color="auto"/>
      </w:divBdr>
    </w:div>
    <w:div w:id="891110779">
      <w:bodyDiv w:val="1"/>
      <w:marLeft w:val="0"/>
      <w:marRight w:val="0"/>
      <w:marTop w:val="0"/>
      <w:marBottom w:val="0"/>
      <w:divBdr>
        <w:top w:val="none" w:sz="0" w:space="0" w:color="auto"/>
        <w:left w:val="none" w:sz="0" w:space="0" w:color="auto"/>
        <w:bottom w:val="none" w:sz="0" w:space="0" w:color="auto"/>
        <w:right w:val="none" w:sz="0" w:space="0" w:color="auto"/>
      </w:divBdr>
    </w:div>
    <w:div w:id="1272128846">
      <w:bodyDiv w:val="1"/>
      <w:marLeft w:val="0"/>
      <w:marRight w:val="0"/>
      <w:marTop w:val="0"/>
      <w:marBottom w:val="0"/>
      <w:divBdr>
        <w:top w:val="none" w:sz="0" w:space="0" w:color="auto"/>
        <w:left w:val="none" w:sz="0" w:space="0" w:color="auto"/>
        <w:bottom w:val="none" w:sz="0" w:space="0" w:color="auto"/>
        <w:right w:val="none" w:sz="0" w:space="0" w:color="auto"/>
      </w:divBdr>
    </w:div>
    <w:div w:id="13957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isonlmuller/Desktop/Bootcamp%20Class/Challenge%201/Challenge%201%20Crowdfund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isonlmuller/Desktop/Bootcamp%20Class/Challenge%201/Challenge%201%20Crowdfun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isonlmuller/Desktop/Bootcamp%20Class/Challenge%201/Challenge%201%20Crowdfund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lisonlmuller/Desktop/Bootcamp%20Class/Module%201%20Excel/Challenge%201/Challenge%201%20Crowdfund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 Crowdfunding.xlsx]Pivot Table 1!PivotTable2</c:name>
    <c:fmtId val="-1"/>
  </c:pivotSource>
  <c:chart>
    <c:autoTitleDeleted val="0"/>
    <c:pivotFmts>
      <c:pivotFmt>
        <c:idx val="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1'!$B$5:$B$6</c:f>
              <c:strCache>
                <c:ptCount val="1"/>
                <c:pt idx="0">
                  <c:v>canceled</c:v>
                </c:pt>
              </c:strCache>
            </c:strRef>
          </c:tx>
          <c:spPr>
            <a:solidFill>
              <a:srgbClr val="00B0F0"/>
            </a:solidFill>
            <a:ln>
              <a:noFill/>
            </a:ln>
            <a:effectLst/>
          </c:spPr>
          <c:invertIfNegative val="0"/>
          <c:cat>
            <c:strRef>
              <c:f>'Pivot Table 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1'!$B$7:$B$16</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18F0-104A-B19C-EFC64ACF68CB}"/>
            </c:ext>
          </c:extLst>
        </c:ser>
        <c:ser>
          <c:idx val="1"/>
          <c:order val="1"/>
          <c:tx>
            <c:strRef>
              <c:f>'Pivot Table 1'!$C$5:$C$6</c:f>
              <c:strCache>
                <c:ptCount val="1"/>
                <c:pt idx="0">
                  <c:v>failed</c:v>
                </c:pt>
              </c:strCache>
            </c:strRef>
          </c:tx>
          <c:spPr>
            <a:solidFill>
              <a:srgbClr val="FF0000"/>
            </a:solidFill>
            <a:ln>
              <a:noFill/>
            </a:ln>
            <a:effectLst/>
          </c:spPr>
          <c:invertIfNegative val="0"/>
          <c:cat>
            <c:strRef>
              <c:f>'Pivot Table 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1'!$C$7:$C$16</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18F0-104A-B19C-EFC64ACF68CB}"/>
            </c:ext>
          </c:extLst>
        </c:ser>
        <c:ser>
          <c:idx val="2"/>
          <c:order val="2"/>
          <c:tx>
            <c:strRef>
              <c:f>'Pivot Table 1'!$D$5:$D$6</c:f>
              <c:strCache>
                <c:ptCount val="1"/>
                <c:pt idx="0">
                  <c:v>live</c:v>
                </c:pt>
              </c:strCache>
            </c:strRef>
          </c:tx>
          <c:spPr>
            <a:solidFill>
              <a:srgbClr val="FFFF00"/>
            </a:solidFill>
            <a:ln>
              <a:noFill/>
            </a:ln>
            <a:effectLst/>
          </c:spPr>
          <c:invertIfNegative val="0"/>
          <c:cat>
            <c:strRef>
              <c:f>'Pivot Table 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1'!$D$7:$D$16</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18F0-104A-B19C-EFC64ACF68CB}"/>
            </c:ext>
          </c:extLst>
        </c:ser>
        <c:ser>
          <c:idx val="3"/>
          <c:order val="3"/>
          <c:tx>
            <c:strRef>
              <c:f>'Pivot Table 1'!$E$5:$E$6</c:f>
              <c:strCache>
                <c:ptCount val="1"/>
                <c:pt idx="0">
                  <c:v>successful</c:v>
                </c:pt>
              </c:strCache>
            </c:strRef>
          </c:tx>
          <c:spPr>
            <a:solidFill>
              <a:srgbClr val="00B050"/>
            </a:solidFill>
            <a:ln>
              <a:noFill/>
            </a:ln>
            <a:effectLst/>
          </c:spPr>
          <c:invertIfNegative val="0"/>
          <c:cat>
            <c:strRef>
              <c:f>'Pivot Table 1'!$A$7:$A$16</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Table 1'!$E$7:$E$16</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18F0-104A-B19C-EFC64ACF68CB}"/>
            </c:ext>
          </c:extLst>
        </c:ser>
        <c:dLbls>
          <c:showLegendKey val="0"/>
          <c:showVal val="0"/>
          <c:showCatName val="0"/>
          <c:showSerName val="0"/>
          <c:showPercent val="0"/>
          <c:showBubbleSize val="0"/>
        </c:dLbls>
        <c:gapWidth val="150"/>
        <c:overlap val="100"/>
        <c:axId val="1707499600"/>
        <c:axId val="1707428896"/>
      </c:barChart>
      <c:catAx>
        <c:axId val="170749960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Project</a:t>
                </a:r>
                <a:r>
                  <a:rPr lang="en-US" b="1" baseline="0"/>
                  <a:t> Categories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28896"/>
        <c:crosses val="autoZero"/>
        <c:auto val="1"/>
        <c:lblAlgn val="ctr"/>
        <c:lblOffset val="100"/>
        <c:noMultiLvlLbl val="0"/>
      </c:catAx>
      <c:valAx>
        <c:axId val="170742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Number</a:t>
                </a:r>
                <a:r>
                  <a:rPr lang="en-US" b="1" baseline="0"/>
                  <a:t> of Supporters</a:t>
                </a:r>
                <a:endParaRPr lang="en-US" b="1"/>
              </a:p>
            </c:rich>
          </c:tx>
          <c:layout>
            <c:manualLayout>
              <c:xMode val="edge"/>
              <c:yMode val="edge"/>
              <c:x val="2.154882154882155E-2"/>
              <c:y val="0.1772087343248760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499600"/>
        <c:crosses val="autoZero"/>
        <c:crossBetween val="between"/>
      </c:valAx>
      <c:spPr>
        <a:noFill/>
        <a:ln>
          <a:noFill/>
        </a:ln>
        <a:effectLst/>
      </c:spPr>
    </c:plotArea>
    <c:legend>
      <c:legendPos val="r"/>
      <c:layout>
        <c:manualLayout>
          <c:xMode val="edge"/>
          <c:yMode val="edge"/>
          <c:x val="0.8415981335666376"/>
          <c:y val="5.0574207246871512E-2"/>
          <c:w val="0.14224025027174633"/>
          <c:h val="0.330641550041366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 Crowdfunding.xlsx]Pivot Table 2!PivotTable7</c:name>
    <c:fmtId val="-1"/>
  </c:pivotSource>
  <c:chart>
    <c:autoTitleDeleted val="0"/>
    <c:pivotFmts>
      <c:pivotFmt>
        <c:idx val="0"/>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rgbClr val="00B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Table 2'!$B$4:$B$5</c:f>
              <c:strCache>
                <c:ptCount val="1"/>
                <c:pt idx="0">
                  <c:v>canceled</c:v>
                </c:pt>
              </c:strCache>
            </c:strRef>
          </c:tx>
          <c:spPr>
            <a:solidFill>
              <a:srgbClr val="00B0F0"/>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A47C-DC42-A4BE-80E258D13000}"/>
            </c:ext>
          </c:extLst>
        </c:ser>
        <c:ser>
          <c:idx val="1"/>
          <c:order val="1"/>
          <c:tx>
            <c:strRef>
              <c:f>'Pivot Table 2'!$C$4:$C$5</c:f>
              <c:strCache>
                <c:ptCount val="1"/>
                <c:pt idx="0">
                  <c:v>failed</c:v>
                </c:pt>
              </c:strCache>
            </c:strRef>
          </c:tx>
          <c:spPr>
            <a:solidFill>
              <a:srgbClr val="FF0000"/>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A47C-DC42-A4BE-80E258D13000}"/>
            </c:ext>
          </c:extLst>
        </c:ser>
        <c:ser>
          <c:idx val="2"/>
          <c:order val="2"/>
          <c:tx>
            <c:strRef>
              <c:f>'Pivot Table 2'!$D$4:$D$5</c:f>
              <c:strCache>
                <c:ptCount val="1"/>
                <c:pt idx="0">
                  <c:v>live</c:v>
                </c:pt>
              </c:strCache>
            </c:strRef>
          </c:tx>
          <c:spPr>
            <a:solidFill>
              <a:srgbClr val="FFFF00"/>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A47C-DC42-A4BE-80E258D13000}"/>
            </c:ext>
          </c:extLst>
        </c:ser>
        <c:ser>
          <c:idx val="3"/>
          <c:order val="3"/>
          <c:tx>
            <c:strRef>
              <c:f>'Pivot Table 2'!$E$4:$E$5</c:f>
              <c:strCache>
                <c:ptCount val="1"/>
                <c:pt idx="0">
                  <c:v>successful</c:v>
                </c:pt>
              </c:strCache>
            </c:strRef>
          </c:tx>
          <c:spPr>
            <a:solidFill>
              <a:srgbClr val="00B050"/>
            </a:solidFill>
            <a:ln>
              <a:noFill/>
            </a:ln>
            <a:effectLst/>
          </c:spPr>
          <c:invertIfNegative val="0"/>
          <c:cat>
            <c:strRef>
              <c:f>'Pivot Table 2'!$A$6:$A$30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Table 2'!$E$6:$E$30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A47C-DC42-A4BE-80E258D13000}"/>
            </c:ext>
          </c:extLst>
        </c:ser>
        <c:dLbls>
          <c:showLegendKey val="0"/>
          <c:showVal val="0"/>
          <c:showCatName val="0"/>
          <c:showSerName val="0"/>
          <c:showPercent val="0"/>
          <c:showBubbleSize val="0"/>
        </c:dLbls>
        <c:gapWidth val="219"/>
        <c:overlap val="100"/>
        <c:axId val="1707725392"/>
        <c:axId val="1707727120"/>
      </c:barChart>
      <c:catAx>
        <c:axId val="170772539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Project</a:t>
                </a:r>
                <a:r>
                  <a:rPr lang="en-US" b="1" baseline="0"/>
                  <a:t> Sub-categories</a:t>
                </a:r>
                <a:endParaRPr lang="en-US" b="1"/>
              </a:p>
            </c:rich>
          </c:tx>
          <c:layout>
            <c:manualLayout>
              <c:xMode val="edge"/>
              <c:yMode val="edge"/>
              <c:x val="0.43631525009862948"/>
              <c:y val="0.9260206495759678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0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727120"/>
        <c:crosses val="autoZero"/>
        <c:auto val="1"/>
        <c:lblAlgn val="ctr"/>
        <c:lblOffset val="100"/>
        <c:noMultiLvlLbl val="0"/>
      </c:catAx>
      <c:valAx>
        <c:axId val="170772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Number of Supporters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725392"/>
        <c:crosses val="autoZero"/>
        <c:crossBetween val="between"/>
      </c:valAx>
      <c:spPr>
        <a:noFill/>
        <a:ln>
          <a:noFill/>
        </a:ln>
        <a:effectLst/>
      </c:spPr>
    </c:plotArea>
    <c:legend>
      <c:legendPos val="r"/>
      <c:layout>
        <c:manualLayout>
          <c:xMode val="edge"/>
          <c:yMode val="edge"/>
          <c:x val="0.88574623398876207"/>
          <c:y val="3.871249529864234E-2"/>
          <c:w val="0.10437136656465229"/>
          <c:h val="0.26001722820086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[Challenge 1 Crowdfunding.xlsx]Pivot Table 3!PivotTable13</c:name>
    <c:fmtId val="-1"/>
  </c:pivotSource>
  <c:chart>
    <c:autoTitleDeleted val="0"/>
    <c:pivotFmts>
      <c:pivotFmt>
        <c:idx val="0"/>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FFFF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00B0F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Table 3'!$B$4:$B$5</c:f>
              <c:strCache>
                <c:ptCount val="1"/>
                <c:pt idx="0">
                  <c:v>canceled</c:v>
                </c:pt>
              </c:strCache>
            </c:strRef>
          </c:tx>
          <c:spPr>
            <a:ln w="28575" cap="rnd">
              <a:solidFill>
                <a:srgbClr val="FFFF00"/>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B55F-DD42-9227-5FBCE5454618}"/>
            </c:ext>
          </c:extLst>
        </c:ser>
        <c:ser>
          <c:idx val="1"/>
          <c:order val="1"/>
          <c:tx>
            <c:strRef>
              <c:f>'Pivot Table 3'!$C$4:$C$5</c:f>
              <c:strCache>
                <c:ptCount val="1"/>
                <c:pt idx="0">
                  <c:v>failed</c:v>
                </c:pt>
              </c:strCache>
            </c:strRef>
          </c:tx>
          <c:spPr>
            <a:ln w="28575" cap="rnd">
              <a:solidFill>
                <a:srgbClr val="FF0000"/>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B55F-DD42-9227-5FBCE5454618}"/>
            </c:ext>
          </c:extLst>
        </c:ser>
        <c:ser>
          <c:idx val="2"/>
          <c:order val="2"/>
          <c:tx>
            <c:strRef>
              <c:f>'Pivot Table 3'!$D$4:$D$5</c:f>
              <c:strCache>
                <c:ptCount val="1"/>
                <c:pt idx="0">
                  <c:v>successful</c:v>
                </c:pt>
              </c:strCache>
            </c:strRef>
          </c:tx>
          <c:spPr>
            <a:ln w="28575" cap="rnd">
              <a:solidFill>
                <a:srgbClr val="00B0F0"/>
              </a:solidFill>
              <a:round/>
            </a:ln>
            <a:effectLst/>
          </c:spPr>
          <c:marker>
            <c:symbol val="none"/>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B55F-DD42-9227-5FBCE5454618}"/>
            </c:ext>
          </c:extLst>
        </c:ser>
        <c:dLbls>
          <c:showLegendKey val="0"/>
          <c:showVal val="0"/>
          <c:showCatName val="0"/>
          <c:showSerName val="0"/>
          <c:showPercent val="0"/>
          <c:showBubbleSize val="0"/>
        </c:dLbls>
        <c:smooth val="0"/>
        <c:axId val="256368255"/>
        <c:axId val="256370527"/>
      </c:lineChart>
      <c:catAx>
        <c:axId val="25636825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Month</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370527"/>
        <c:crosses val="autoZero"/>
        <c:auto val="1"/>
        <c:lblAlgn val="ctr"/>
        <c:lblOffset val="100"/>
        <c:noMultiLvlLbl val="0"/>
      </c:catAx>
      <c:valAx>
        <c:axId val="256370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Number</a:t>
                </a:r>
                <a:r>
                  <a:rPr lang="en-US" b="1" baseline="0"/>
                  <a:t> of Campaigns</a:t>
                </a:r>
                <a:endParaRPr lang="en-US" b="1"/>
              </a:p>
            </c:rich>
          </c:tx>
          <c:layout>
            <c:manualLayout>
              <c:xMode val="edge"/>
              <c:yMode val="edge"/>
              <c:x val="2.2377622377622378E-2"/>
              <c:y val="0.1946330841136971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368255"/>
        <c:crosses val="autoZero"/>
        <c:crossBetween val="between"/>
      </c:valAx>
      <c:spPr>
        <a:noFill/>
        <a:ln>
          <a:noFill/>
        </a:ln>
        <a:effectLst/>
      </c:spPr>
    </c:plotArea>
    <c:legend>
      <c:legendPos val="r"/>
      <c:layout>
        <c:manualLayout>
          <c:xMode val="edge"/>
          <c:yMode val="edge"/>
          <c:x val="0.79602753152359451"/>
          <c:y val="0.15661053015060813"/>
          <c:w val="0.1871892516931887"/>
          <c:h val="0.266169055366501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Crowdfunding</a:t>
            </a:r>
            <a:r>
              <a:rPr lang="en-US" b="1" baseline="0"/>
              <a:t> Outcomes based on Target Goals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045763510330438"/>
          <c:y val="0.23486545507758635"/>
          <c:w val="0.69027878726697622"/>
          <c:h val="0.47612383423480215"/>
        </c:manualLayout>
      </c:layout>
      <c:lineChart>
        <c:grouping val="standard"/>
        <c:varyColors val="0"/>
        <c:ser>
          <c:idx val="0"/>
          <c:order val="0"/>
          <c:tx>
            <c:strRef>
              <c:f>'Goal Analysis'!$F$1</c:f>
              <c:strCache>
                <c:ptCount val="1"/>
                <c:pt idx="0">
                  <c:v>Percentage Successful</c:v>
                </c:pt>
              </c:strCache>
            </c:strRef>
          </c:tx>
          <c:spPr>
            <a:ln w="28575" cap="rnd">
              <a:solidFill>
                <a:schemeClr val="accent1"/>
              </a:solidFill>
              <a:round/>
            </a:ln>
            <a:effectLst/>
          </c:spPr>
          <c:marker>
            <c:symbol val="none"/>
          </c:marker>
          <c:cat>
            <c:strRef>
              <c:f>'Goal Analysis'!$A$2:$A$13</c:f>
              <c:strCache>
                <c:ptCount val="12"/>
                <c:pt idx="0">
                  <c:v>&lt;1000</c:v>
                </c:pt>
                <c:pt idx="1">
                  <c:v>1000 to 4999      </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'Goal Analysis'!$F$2:$F$13</c:f>
              <c:numCache>
                <c:formatCode>0%</c:formatCode>
                <c:ptCount val="12"/>
                <c:pt idx="0">
                  <c:v>0.58823529411764708</c:v>
                </c:pt>
                <c:pt idx="1">
                  <c:v>0.81623931623931623</c:v>
                </c:pt>
                <c:pt idx="2">
                  <c:v>0.51735015772870663</c:v>
                </c:pt>
                <c:pt idx="3">
                  <c:v>0.44444444444444442</c:v>
                </c:pt>
                <c:pt idx="4">
                  <c:v>1</c:v>
                </c:pt>
                <c:pt idx="5">
                  <c:v>1</c:v>
                </c:pt>
                <c:pt idx="6">
                  <c:v>0.7857142857142857</c:v>
                </c:pt>
                <c:pt idx="7">
                  <c:v>1</c:v>
                </c:pt>
                <c:pt idx="8">
                  <c:v>0.66666666666666663</c:v>
                </c:pt>
                <c:pt idx="9">
                  <c:v>0.73333333333333328</c:v>
                </c:pt>
                <c:pt idx="10">
                  <c:v>0.72727272727272729</c:v>
                </c:pt>
                <c:pt idx="11">
                  <c:v>0.36421725239616615</c:v>
                </c:pt>
              </c:numCache>
            </c:numRef>
          </c:val>
          <c:smooth val="0"/>
          <c:extLst>
            <c:ext xmlns:c16="http://schemas.microsoft.com/office/drawing/2014/chart" uri="{C3380CC4-5D6E-409C-BE32-E72D297353CC}">
              <c16:uniqueId val="{00000000-D53E-B047-9784-8C87132C3C4D}"/>
            </c:ext>
          </c:extLst>
        </c:ser>
        <c:ser>
          <c:idx val="1"/>
          <c:order val="1"/>
          <c:tx>
            <c:strRef>
              <c:f>'Goal Analysis'!$G$1</c:f>
              <c:strCache>
                <c:ptCount val="1"/>
                <c:pt idx="0">
                  <c:v>Percentage Failed</c:v>
                </c:pt>
              </c:strCache>
            </c:strRef>
          </c:tx>
          <c:spPr>
            <a:ln w="28575" cap="rnd">
              <a:solidFill>
                <a:schemeClr val="accent2"/>
              </a:solidFill>
              <a:round/>
            </a:ln>
            <a:effectLst/>
          </c:spPr>
          <c:marker>
            <c:symbol val="none"/>
          </c:marker>
          <c:cat>
            <c:strRef>
              <c:f>'Goal Analysis'!$A$2:$A$13</c:f>
              <c:strCache>
                <c:ptCount val="12"/>
                <c:pt idx="0">
                  <c:v>&lt;1000</c:v>
                </c:pt>
                <c:pt idx="1">
                  <c:v>1000 to 4999      </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'Goal Analysis'!$G$2:$G$13</c:f>
              <c:numCache>
                <c:formatCode>0%</c:formatCode>
                <c:ptCount val="12"/>
                <c:pt idx="0">
                  <c:v>0.39215686274509803</c:v>
                </c:pt>
                <c:pt idx="1">
                  <c:v>0.1623931623931624</c:v>
                </c:pt>
                <c:pt idx="2">
                  <c:v>0.39747634069400634</c:v>
                </c:pt>
                <c:pt idx="3">
                  <c:v>0.55555555555555558</c:v>
                </c:pt>
                <c:pt idx="4">
                  <c:v>0</c:v>
                </c:pt>
                <c:pt idx="5">
                  <c:v>0</c:v>
                </c:pt>
                <c:pt idx="6">
                  <c:v>0.21428571428571427</c:v>
                </c:pt>
                <c:pt idx="7">
                  <c:v>0</c:v>
                </c:pt>
                <c:pt idx="8">
                  <c:v>0.25</c:v>
                </c:pt>
                <c:pt idx="9">
                  <c:v>0.2</c:v>
                </c:pt>
                <c:pt idx="10">
                  <c:v>0.27272727272727271</c:v>
                </c:pt>
                <c:pt idx="11">
                  <c:v>0.52076677316293929</c:v>
                </c:pt>
              </c:numCache>
            </c:numRef>
          </c:val>
          <c:smooth val="0"/>
          <c:extLst>
            <c:ext xmlns:c16="http://schemas.microsoft.com/office/drawing/2014/chart" uri="{C3380CC4-5D6E-409C-BE32-E72D297353CC}">
              <c16:uniqueId val="{00000001-D53E-B047-9784-8C87132C3C4D}"/>
            </c:ext>
          </c:extLst>
        </c:ser>
        <c:ser>
          <c:idx val="2"/>
          <c:order val="2"/>
          <c:tx>
            <c:strRef>
              <c:f>'Goal Analysis'!$H$1</c:f>
              <c:strCache>
                <c:ptCount val="1"/>
                <c:pt idx="0">
                  <c:v>Percentage Canceled</c:v>
                </c:pt>
              </c:strCache>
            </c:strRef>
          </c:tx>
          <c:spPr>
            <a:ln w="28575" cap="rnd">
              <a:solidFill>
                <a:schemeClr val="accent3"/>
              </a:solidFill>
              <a:round/>
            </a:ln>
            <a:effectLst/>
          </c:spPr>
          <c:marker>
            <c:symbol val="none"/>
          </c:marker>
          <c:cat>
            <c:strRef>
              <c:f>'Goal Analysis'!$A$2:$A$13</c:f>
              <c:strCache>
                <c:ptCount val="12"/>
                <c:pt idx="0">
                  <c:v>&lt;1000</c:v>
                </c:pt>
                <c:pt idx="1">
                  <c:v>1000 to 4999      </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'Goal Analysis'!$H$2:$H$13</c:f>
              <c:numCache>
                <c:formatCode>0%</c:formatCode>
                <c:ptCount val="12"/>
                <c:pt idx="0">
                  <c:v>1.9607843137254902E-2</c:v>
                </c:pt>
                <c:pt idx="1">
                  <c:v>8.5470085470085479E-3</c:v>
                </c:pt>
                <c:pt idx="2">
                  <c:v>7.8864353312302835E-2</c:v>
                </c:pt>
                <c:pt idx="3">
                  <c:v>0</c:v>
                </c:pt>
                <c:pt idx="4">
                  <c:v>0</c:v>
                </c:pt>
                <c:pt idx="5">
                  <c:v>0</c:v>
                </c:pt>
                <c:pt idx="6">
                  <c:v>0</c:v>
                </c:pt>
                <c:pt idx="7">
                  <c:v>0</c:v>
                </c:pt>
                <c:pt idx="8">
                  <c:v>8.3333333333333329E-2</c:v>
                </c:pt>
                <c:pt idx="9">
                  <c:v>0</c:v>
                </c:pt>
                <c:pt idx="10">
                  <c:v>0</c:v>
                </c:pt>
                <c:pt idx="11">
                  <c:v>8.9456869009584661E-2</c:v>
                </c:pt>
              </c:numCache>
            </c:numRef>
          </c:val>
          <c:smooth val="0"/>
          <c:extLst>
            <c:ext xmlns:c16="http://schemas.microsoft.com/office/drawing/2014/chart" uri="{C3380CC4-5D6E-409C-BE32-E72D297353CC}">
              <c16:uniqueId val="{00000002-D53E-B047-9784-8C87132C3C4D}"/>
            </c:ext>
          </c:extLst>
        </c:ser>
        <c:dLbls>
          <c:showLegendKey val="0"/>
          <c:showVal val="0"/>
          <c:showCatName val="0"/>
          <c:showSerName val="0"/>
          <c:showPercent val="0"/>
          <c:showBubbleSize val="0"/>
        </c:dLbls>
        <c:smooth val="0"/>
        <c:axId val="613563584"/>
        <c:axId val="613565312"/>
      </c:lineChart>
      <c:catAx>
        <c:axId val="61356358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Financial</a:t>
                </a:r>
                <a:r>
                  <a:rPr lang="en-US" sz="1100" b="1" baseline="0"/>
                  <a:t> Support (USD) </a:t>
                </a:r>
              </a:p>
            </c:rich>
          </c:tx>
          <c:layout>
            <c:manualLayout>
              <c:xMode val="edge"/>
              <c:yMode val="edge"/>
              <c:x val="0.36888888888888888"/>
              <c:y val="0.87816297355253747"/>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quot;$&quot;#,##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65312"/>
        <c:crossesAt val="0"/>
        <c:auto val="1"/>
        <c:lblAlgn val="ctr"/>
        <c:lblOffset val="100"/>
        <c:noMultiLvlLbl val="0"/>
      </c:catAx>
      <c:valAx>
        <c:axId val="61356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Percentage of Projects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63584"/>
        <c:crosses val="autoZero"/>
        <c:crossBetween val="between"/>
      </c:valAx>
      <c:spPr>
        <a:noFill/>
        <a:ln>
          <a:noFill/>
        </a:ln>
        <a:effectLst/>
      </c:spPr>
    </c:plotArea>
    <c:legend>
      <c:legendPos val="tr"/>
      <c:layout>
        <c:manualLayout>
          <c:xMode val="edge"/>
          <c:yMode val="edge"/>
          <c:x val="0.83511139254446343"/>
          <c:y val="3.7637426900584803E-2"/>
          <c:w val="0.15509839766532679"/>
          <c:h val="0.307842778587630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Muller</dc:creator>
  <cp:keywords/>
  <dc:description/>
  <cp:lastModifiedBy>Alison Muller</cp:lastModifiedBy>
  <cp:revision>7</cp:revision>
  <dcterms:created xsi:type="dcterms:W3CDTF">2023-10-05T01:42:00Z</dcterms:created>
  <dcterms:modified xsi:type="dcterms:W3CDTF">2023-10-22T04:57:00Z</dcterms:modified>
</cp:coreProperties>
</file>