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01492">
      <w:pPr>
        <w:pStyle w:val="10"/>
        <w:spacing w:after="200"/>
        <w:jc w:val="center"/>
      </w:pPr>
      <w:r>
        <w:rPr>
          <w:rFonts w:ascii="微软雅黑" w:hAnsi="微软雅黑" w:eastAsia="微软雅黑" w:cs="微软雅黑"/>
          <w:b/>
          <w:bCs/>
          <w:sz w:val="48"/>
          <w:szCs w:val="48"/>
        </w:rPr>
        <w:t>命运素描人格图鉴</w:t>
      </w:r>
    </w:p>
    <w:p w14:paraId="79E1E24C">
      <w:pPr>
        <w:spacing w:after="40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光阴对赌 · 六种命运素描（名称 · 立绘 · 描述）</w:t>
      </w:r>
    </w:p>
    <w:p w14:paraId="5ACCC80D">
      <w:r>
        <w:rPr>
          <w:rFonts w:ascii="微软雅黑" w:hAnsi="微软雅黑" w:eastAsia="微软雅黑" w:cs="微软雅黑"/>
          <w:b/>
          <w:bCs/>
          <w:sz w:val="36"/>
          <w:szCs w:val="36"/>
        </w:rPr>
        <w:t>桥梁架构师</w:t>
      </w:r>
    </w:p>
    <w:p w14:paraId="785D4985">
      <w:pPr>
        <w:spacing w:after="280"/>
        <w:jc w:val="center"/>
      </w:pPr>
      <w:r>
        <w:drawing>
          <wp:inline distT="0" distB="0" distL="0" distR="0">
            <wp:extent cx="3918585" cy="5879465"/>
            <wp:effectExtent l="0" t="0" r="5715" b="635"/>
            <wp:docPr id="1" name="Bridge" descr="桥梁架构师立绘" title="桥梁架构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idge" descr="桥梁架构师立绘" title="桥梁架构师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4916">
      <w:pPr>
        <w:spacing w:after="120"/>
        <w:rPr>
          <w:sz w:val="28"/>
          <w:szCs w:val="32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描述</w:t>
      </w:r>
    </w:p>
    <w:p w14:paraId="516F7779">
      <w:pPr>
        <w:spacing w:after="200"/>
        <w:rPr>
          <w:sz w:val="28"/>
          <w:szCs w:val="32"/>
        </w:rPr>
      </w:pPr>
      <w:r>
        <w:rPr>
          <w:rFonts w:ascii="微软雅黑" w:hAnsi="微软雅黑" w:eastAsia="微软雅黑" w:cs="微软雅黑"/>
          <w:sz w:val="32"/>
          <w:szCs w:val="32"/>
        </w:rPr>
        <w:t>你擅长在博弈场中编织人际联结与信任网络，依靠协作拿到单人无法企及的机会。对你而言，关系本身就是资源。</w:t>
      </w:r>
    </w:p>
    <w:p w14:paraId="6F826C14"/>
    <w:p w14:paraId="1C972FE4">
      <w:pPr>
        <w:rPr>
          <w:rFonts w:ascii="微软雅黑" w:hAnsi="微软雅黑" w:eastAsia="微软雅黑" w:cs="微软雅黑"/>
          <w:b/>
          <w:bCs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瞬刻炼金士</w:t>
      </w:r>
    </w:p>
    <w:p w14:paraId="3AEC7000">
      <w:pPr>
        <w:spacing w:after="280"/>
        <w:jc w:val="center"/>
      </w:pPr>
      <w:r>
        <w:drawing>
          <wp:inline distT="0" distB="0" distL="0" distR="0">
            <wp:extent cx="3783965" cy="5676265"/>
            <wp:effectExtent l="0" t="0" r="635" b="635"/>
            <wp:docPr id="2" name="Moment" descr="瞬刻炼金士立绘" title="瞬刻炼金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ment" descr="瞬刻炼金士立绘" title="瞬刻炼金士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D490">
      <w:pPr>
        <w:spacing w:after="120"/>
        <w:rPr>
          <w:sz w:val="28"/>
          <w:szCs w:val="32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描述</w:t>
      </w:r>
    </w:p>
    <w:p w14:paraId="0BB6EAD6">
      <w:pPr>
        <w:spacing w:after="200"/>
        <w:rPr>
          <w:sz w:val="28"/>
          <w:szCs w:val="32"/>
        </w:rPr>
      </w:pPr>
      <w:r>
        <w:rPr>
          <w:rFonts w:ascii="微软雅黑" w:hAnsi="微软雅黑" w:eastAsia="微软雅黑" w:cs="微软雅黑"/>
          <w:sz w:val="32"/>
          <w:szCs w:val="32"/>
        </w:rPr>
        <w:t>你偏好见效迅速的短期机会，重视本轮就能落袋的周转收益；善于借卡牌调整对局节奏，抢占每一轮即时的行动空间。</w:t>
      </w:r>
    </w:p>
    <w:p w14:paraId="5C588D4A">
      <w:r>
        <w:br w:type="page"/>
      </w:r>
    </w:p>
    <w:p w14:paraId="06EE7A2E">
      <w:pPr>
        <w:rPr>
          <w:rFonts w:ascii="微软雅黑" w:hAnsi="微软雅黑" w:eastAsia="微软雅黑" w:cs="微软雅黑"/>
          <w:b/>
          <w:bCs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罗盘精算师</w:t>
      </w:r>
    </w:p>
    <w:p w14:paraId="0F3ABA24">
      <w:pPr>
        <w:spacing w:after="280"/>
        <w:jc w:val="center"/>
      </w:pPr>
      <w:r>
        <w:drawing>
          <wp:inline distT="0" distB="0" distL="0" distR="0">
            <wp:extent cx="3632200" cy="5448300"/>
            <wp:effectExtent l="0" t="0" r="0" b="0"/>
            <wp:docPr id="3" name="Navigator" descr="罗盘精算师立绘" title="罗盘精算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avigator" descr="罗盘精算师立绘" title="罗盘精算师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EE80">
      <w:pPr>
        <w:spacing w:after="120"/>
        <w:rPr>
          <w:sz w:val="28"/>
          <w:szCs w:val="32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描述</w:t>
      </w:r>
    </w:p>
    <w:p w14:paraId="0D831919">
      <w:pPr>
        <w:spacing w:after="200"/>
        <w:rPr>
          <w:sz w:val="28"/>
          <w:szCs w:val="32"/>
        </w:rPr>
      </w:pPr>
      <w:r>
        <w:rPr>
          <w:rFonts w:ascii="微软雅黑" w:hAnsi="微软雅黑" w:eastAsia="微软雅黑" w:cs="微软雅黑"/>
          <w:sz w:val="32"/>
          <w:szCs w:val="32"/>
        </w:rPr>
        <w:t>你本能规避会造成毁灭性回撤的高风险博弈，无意干预他人策略。习惯在既定规则下审慎推演，算清每一轮投入与精力分配，谋定而后动。</w:t>
      </w:r>
    </w:p>
    <w:p w14:paraId="1C5E311B">
      <w:r>
        <w:br w:type="page"/>
      </w:r>
    </w:p>
    <w:p w14:paraId="30903D34">
      <w:pPr>
        <w:rPr>
          <w:rFonts w:ascii="微软雅黑" w:hAnsi="微软雅黑" w:eastAsia="微软雅黑" w:cs="微软雅黑"/>
          <w:b/>
          <w:bCs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时荫植者</w:t>
      </w:r>
    </w:p>
    <w:p w14:paraId="3C714CEF">
      <w:pPr>
        <w:spacing w:after="280"/>
        <w:jc w:val="center"/>
      </w:pPr>
      <w:r>
        <w:drawing>
          <wp:inline distT="0" distB="0" distL="0" distR="0">
            <wp:extent cx="3602355" cy="5403850"/>
            <wp:effectExtent l="0" t="0" r="4445" b="6350"/>
            <wp:docPr id="4" name="Planter" descr="时荫植者立绘" title="时荫植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lanter" descr="时荫植者立绘" title="时荫植者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2355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6D2E">
      <w:pPr>
        <w:spacing w:after="120"/>
        <w:rPr>
          <w:sz w:val="28"/>
          <w:szCs w:val="32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描述</w:t>
      </w:r>
    </w:p>
    <w:p w14:paraId="0470E77E">
      <w:pPr>
        <w:spacing w:after="200"/>
        <w:rPr>
          <w:sz w:val="28"/>
          <w:szCs w:val="32"/>
        </w:rPr>
      </w:pPr>
      <w:r>
        <w:rPr>
          <w:rFonts w:ascii="微软雅黑" w:hAnsi="微软雅黑" w:eastAsia="微软雅黑" w:cs="微软雅黑"/>
          <w:sz w:val="32"/>
          <w:szCs w:val="32"/>
        </w:rPr>
        <w:t>你倾向深耕需要漫长周期兑现价值的长期布局，能够忍耐前期缓慢的收益，在旁人观望迟疑时，默默培育未来的回报。</w:t>
      </w:r>
    </w:p>
    <w:p w14:paraId="0960454A">
      <w:r>
        <w:br w:type="page"/>
      </w:r>
    </w:p>
    <w:p w14:paraId="290645B7">
      <w:pPr>
        <w:rPr>
          <w:rFonts w:ascii="微软雅黑" w:hAnsi="微软雅黑" w:eastAsia="微软雅黑" w:cs="微软雅黑"/>
          <w:b/>
          <w:bCs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随机诗人</w:t>
      </w:r>
    </w:p>
    <w:p w14:paraId="63D9A548">
      <w:pPr>
        <w:spacing w:after="280"/>
        <w:jc w:val="center"/>
      </w:pPr>
      <w:r>
        <w:drawing>
          <wp:inline distT="0" distB="0" distL="0" distR="0">
            <wp:extent cx="3568700" cy="5353050"/>
            <wp:effectExtent l="0" t="0" r="0" b="6350"/>
            <wp:docPr id="5" name="Poet" descr="随机诗人立绘" title="随机诗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oet" descr="随机诗人立绘" title="随机诗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2577">
      <w:pPr>
        <w:spacing w:after="120"/>
        <w:rPr>
          <w:sz w:val="28"/>
          <w:szCs w:val="32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描述</w:t>
      </w:r>
    </w:p>
    <w:p w14:paraId="566F7631">
      <w:pPr>
        <w:spacing w:after="200"/>
        <w:rPr>
          <w:sz w:val="28"/>
          <w:szCs w:val="32"/>
        </w:rPr>
      </w:pPr>
      <w:r>
        <w:rPr>
          <w:rFonts w:ascii="微软雅黑" w:hAnsi="微软雅黑" w:eastAsia="微软雅黑" w:cs="微软雅黑"/>
          <w:sz w:val="32"/>
          <w:szCs w:val="32"/>
        </w:rPr>
        <w:t>你的策略不被单一框架束缚，长线布局、短线套利、灵活扰动交替使用，走出一条贴合自身直觉、无法复刻的独特对局路径。</w:t>
      </w:r>
    </w:p>
    <w:p w14:paraId="0060737D">
      <w:pPr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03FE52D0">
      <w:pPr>
        <w:rPr>
          <w:rFonts w:ascii="微软雅黑" w:hAnsi="微软雅黑" w:eastAsia="微软雅黑" w:cs="微软雅黑"/>
          <w:b/>
          <w:bCs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涌机触发者</w:t>
      </w:r>
    </w:p>
    <w:p w14:paraId="4FD1CC9E">
      <w:pPr>
        <w:spacing w:after="280"/>
        <w:jc w:val="center"/>
      </w:pPr>
      <w:r>
        <w:drawing>
          <wp:inline distT="0" distB="0" distL="0" distR="0">
            <wp:extent cx="3961130" cy="5942330"/>
            <wp:effectExtent l="0" t="0" r="1270" b="1270"/>
            <wp:docPr id="6" name="Wave" descr="涌机触发者立绘" title="涌机触发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ave" descr="涌机触发者立绘" title="涌机触发者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B32">
      <w:pPr>
        <w:spacing w:after="120"/>
        <w:rPr>
          <w:sz w:val="28"/>
          <w:szCs w:val="32"/>
        </w:rPr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描述</w:t>
      </w:r>
    </w:p>
    <w:p w14:paraId="4B6D6BB6">
      <w:pPr>
        <w:spacing w:after="200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sz w:val="32"/>
          <w:szCs w:val="32"/>
        </w:rPr>
        <w:t>你敢于重仓高风险机会，善用杠杆、做空与干扰类卡牌；在局势动荡的不确定性里捕捉机会，借波动攫取收益。</w:t>
      </w:r>
    </w:p>
    <w:p w14:paraId="5D526AE2">
      <w:pPr>
        <w:spacing w:after="200"/>
        <w:rPr>
          <w:rFonts w:ascii="微软雅黑" w:hAnsi="微软雅黑" w:eastAsia="微软雅黑" w:cs="微软雅黑"/>
          <w:sz w:val="32"/>
          <w:szCs w:val="32"/>
        </w:rPr>
      </w:pPr>
    </w:p>
    <w:p w14:paraId="4D542F53">
      <w:pPr>
        <w:spacing w:after="200"/>
        <w:rPr>
          <w:rFonts w:ascii="微软雅黑" w:hAnsi="微软雅黑" w:eastAsia="微软雅黑" w:cs="微软雅黑"/>
          <w:sz w:val="32"/>
          <w:szCs w:val="32"/>
        </w:rPr>
      </w:pPr>
    </w:p>
    <w:p w14:paraId="245BEE69">
      <w:p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恐怖分子（预计新增）</w:t>
      </w:r>
    </w:p>
    <w:p w14:paraId="09EEAE82">
      <w:pP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680"/>
          <w:szCs w:val="680"/>
          <w:lang w:val="en-US" w:eastAsia="zh-CN"/>
        </w:rPr>
        <w:t>😈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  <w:t>人如其名，搅局怪手。与其提升自己，不如诋毁他人。看到别人亏钱我就开心！</w:t>
      </w:r>
    </w:p>
    <w:p w14:paraId="2CBADEC9">
      <w:pPr>
        <w:rPr>
          <w:rFonts w:hint="default" w:ascii="微软雅黑" w:hAnsi="微软雅黑" w:eastAsia="微软雅黑" w:cs="微软雅黑"/>
          <w:b w:val="0"/>
          <w:bCs w:val="0"/>
          <w:sz w:val="300"/>
          <w:szCs w:val="300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51A1FC1"/>
    <w:rsid w:val="309C084E"/>
    <w:rsid w:val="56003136"/>
    <w:rsid w:val="66567720"/>
    <w:rsid w:val="6B471E05"/>
    <w:rsid w:val="7FB566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388</Words>
  <Characters>388</Characters>
  <TotalTime>17</TotalTime>
  <ScaleCrop>false</ScaleCrop>
  <LinksUpToDate>false</LinksUpToDate>
  <CharactersWithSpaces>394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2026-10-01T02:40:00Z</dcterms:created>
  <dc:creator>Un-named</dc:creator>
  <cp:lastModifiedBy>周</cp:lastModifiedBy>
  <dcterms:modified xsi:type="dcterms:W3CDTF">2026-10-01T03:08:27Z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eyJoZGlkIjoiMDljYzUzMWQ4OWI0YzBkYjYzMDRhZTY5ZjZkYmFmYTgiLCJ1c2VySWQiOiIxMzAyNDk2MzI1In0=</vt:lpwstr>
  </property>
  <property fmtid="{D5CDD505-2E9C-101B-9397-08002B2CF9AE}" pid="3" name="KSOProductBuildVer">
    <vt:lpwstr>2052-12.1.0.28488</vt:lpwstr>
  </property>
  <property fmtid="{D5CDD505-2E9C-101B-9397-08002B2CF9AE}" pid="4" name="ICV">
    <vt:lpwstr>145F05016B0E44BA9C4D867621DDBE45_12</vt:lpwstr>
  </property>
</Properties>
</file>