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Lazard</w:t>
      </w:r>
    </w:p>
    <w:p>
      <w:pPr>
        <w:spacing w:after="0"/>
      </w:pPr>
      <w:r>
        <w:rPr>
          <w:b w:val="0"/>
        </w:rPr>
        <w:t>50 Stratton Street</w:t>
      </w:r>
    </w:p>
    <w:p>
      <w:pPr>
        <w:spacing w:after="0"/>
      </w:pPr>
      <w:r>
        <w:rPr>
          <w:b w:val="0"/>
        </w:rPr>
        <w:t>London W1J 8LL</w:t>
      </w:r>
    </w:p>
    <w:p>
      <w:pPr>
        <w:spacing w:after="0"/>
      </w:pPr>
      <w:r>
        <w:rPr>
          <w:b w:val="0"/>
        </w:rPr>
      </w:r>
    </w:p>
    <w:p>
      <w:pPr>
        <w:spacing w:after="160"/>
      </w:pPr>
      <w:r>
        <w:rPr>
          <w:b w:val="0"/>
        </w:rPr>
        <w:t>Dear Sir or Madam,</w:t>
      </w:r>
    </w:p>
    <w:p>
      <w:pPr>
        <w:spacing w:after="160"/>
      </w:pPr>
      <w:r>
        <w:rPr>
          <w:b w:val="0"/>
        </w:rPr>
        <w:t>I am applying for the 2027 London Financial Advisory Full-Time Analyst Programme in London. I am a final-year Economics student at the University of Strathclyde, graduating in summer 2027 with a predicted 2:1. Lazard's role advising SunOpta on its $1.1 billion sale to Refresco in 2026 sits squarely in the food and agribusiness territory I have spent the past year analysing.</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Lazard's independent advisory model stands out to me because the firm's reputation rests on the quality of its advice, and its 2026 mandates range from NextEra Energy's combination with Dominion Energy, at a combined enterprise value of around $420 billion the largest energy deal on record, to SunOpta's $1.1 billion sale to Refresco. Having spent a year explaining agribusiness deals such as Olam Agri's stake sale to SALIC, and with a dissertation on European gas markets, I would welcome the chance to learn how Lazard's bankers frame rationale and valuation for boards in exactly these sectors.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