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Goldman Sachs International</w:t>
      </w:r>
    </w:p>
    <w:p>
      <w:pPr>
        <w:spacing w:after="0"/>
      </w:pPr>
      <w:r>
        <w:rPr>
          <w:b w:val="0"/>
        </w:rPr>
        <w:t>Plumtree Court, 25 Shoe Lane</w:t>
      </w:r>
    </w:p>
    <w:p>
      <w:pPr>
        <w:spacing w:after="0"/>
      </w:pPr>
      <w:r>
        <w:rPr>
          <w:b w:val="0"/>
        </w:rPr>
        <w:t>London EC4A 4AU</w:t>
      </w:r>
    </w:p>
    <w:p>
      <w:pPr>
        <w:spacing w:after="0"/>
      </w:pPr>
      <w:r>
        <w:rPr>
          <w:b w:val="0"/>
        </w:rPr>
      </w:r>
    </w:p>
    <w:p>
      <w:pPr>
        <w:spacing w:after="160"/>
      </w:pPr>
      <w:r>
        <w:rPr>
          <w:b w:val="0"/>
        </w:rPr>
        <w:t>Dear Sir or Madam,</w:t>
      </w:r>
    </w:p>
    <w:p>
      <w:pPr>
        <w:spacing w:after="160"/>
      </w:pPr>
      <w:r>
        <w:rPr>
          <w:b w:val="0"/>
        </w:rPr>
        <w:t>I am applying for the 2027 EMEA London Investment Banking New Analyst Programme in London. I am a final-year Economics student at the University of Strathclyde, graduating in summer 2027 with a predicted 2:1. Goldman Sachs's role on Europe's largest deals this year, including advising Unilever on the sale of its food business to McCormick, is the kind of food and consumer work my agri-finance research has prepared me to understand.</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Goldman Sachs's EMEA M&amp;A franchise stands out to me because the firm advised on 44% of the region's M&amp;A by value in the first half of 2026, its largest share in nearly a decade, including advising Unilever on the roughly $45 billion sale of its food business to McCormick. Food and agribusiness transactions are exactly what I have spent the past year dissecting with the Agricapital Society, and I would value learning how a deal of that scale is put together, from the strategic case to the separation of the business.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